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417A" w14:textId="72A96010" w:rsidR="006F0B23" w:rsidRDefault="0075382C" w:rsidP="006F0B23">
      <w:pPr>
        <w:jc w:val="both"/>
        <w:rPr>
          <w:rFonts w:ascii="Cambria" w:eastAsia="Cambria" w:hAnsi="Cambria" w:cs="Cambria"/>
          <w:b/>
          <w:sz w:val="28"/>
          <w:szCs w:val="28"/>
        </w:rPr>
      </w:pPr>
      <w:r w:rsidRPr="0075382C">
        <w:rPr>
          <w:rFonts w:ascii="Cambria" w:eastAsia="Cambria" w:hAnsi="Cambria" w:cs="Cambria"/>
          <w:b/>
          <w:sz w:val="28"/>
          <w:szCs w:val="28"/>
        </w:rPr>
        <w:t>Artificial Intelligence Adoption and Consumer Purchase Decision in the Digital Economy</w:t>
      </w:r>
    </w:p>
    <w:p w14:paraId="1D85A2F8" w14:textId="77777777" w:rsidR="00367114" w:rsidRDefault="00367114" w:rsidP="006F0B23">
      <w:pPr>
        <w:jc w:val="both"/>
        <w:rPr>
          <w:rFonts w:ascii="Cambria" w:eastAsia="Cambria" w:hAnsi="Cambria" w:cs="Cambria"/>
          <w:b/>
          <w:i/>
          <w:sz w:val="18"/>
          <w:szCs w:val="18"/>
        </w:rPr>
      </w:pPr>
    </w:p>
    <w:p w14:paraId="10BC1DCB" w14:textId="463C8C41" w:rsidR="006F0B23" w:rsidRPr="00B57763" w:rsidRDefault="00B57763" w:rsidP="006F0B23">
      <w:pPr>
        <w:jc w:val="both"/>
        <w:rPr>
          <w:rFonts w:ascii="Cambria" w:eastAsia="Cambria" w:hAnsi="Cambria" w:cs="Cambria"/>
          <w:b/>
          <w:iCs/>
          <w:sz w:val="22"/>
          <w:szCs w:val="22"/>
          <w:vertAlign w:val="superscript"/>
        </w:rPr>
      </w:pPr>
      <w:r>
        <w:rPr>
          <w:rFonts w:ascii="Cambria" w:eastAsia="Cambria" w:hAnsi="Cambria" w:cs="Cambria"/>
          <w:b/>
          <w:iCs/>
          <w:sz w:val="22"/>
          <w:szCs w:val="22"/>
        </w:rPr>
        <w:t>Gusti Marliani</w:t>
      </w:r>
      <w:r>
        <w:rPr>
          <w:rFonts w:ascii="Cambria" w:eastAsia="Cambria" w:hAnsi="Cambria" w:cs="Cambria"/>
          <w:b/>
          <w:iCs/>
          <w:sz w:val="22"/>
          <w:szCs w:val="22"/>
          <w:vertAlign w:val="superscript"/>
        </w:rPr>
        <w:t>1</w:t>
      </w:r>
    </w:p>
    <w:p w14:paraId="2E73A98F" w14:textId="15384393" w:rsidR="003B68F7" w:rsidRDefault="00B57763">
      <w:pPr>
        <w:ind w:left="142"/>
        <w:jc w:val="both"/>
        <w:rPr>
          <w:rFonts w:ascii="Cambria" w:eastAsia="Cambria" w:hAnsi="Cambria" w:cs="Cambria"/>
          <w:b/>
          <w:i/>
          <w:color w:val="FF0000"/>
          <w:sz w:val="18"/>
          <w:szCs w:val="18"/>
        </w:rPr>
      </w:pPr>
      <w:r>
        <w:rPr>
          <w:rFonts w:ascii="Cambria" w:eastAsia="Cambria" w:hAnsi="Cambria" w:cs="Cambria"/>
          <w:sz w:val="18"/>
          <w:szCs w:val="18"/>
        </w:rPr>
        <w:t>Universitas Achmad Yani</w:t>
      </w:r>
      <w:r w:rsidR="00B96187">
        <w:rPr>
          <w:rFonts w:ascii="Cambria" w:eastAsia="Cambria" w:hAnsi="Cambria" w:cs="Cambria"/>
          <w:sz w:val="18"/>
          <w:szCs w:val="18"/>
        </w:rPr>
        <w:t>,</w:t>
      </w:r>
      <w:r>
        <w:rPr>
          <w:rFonts w:ascii="Cambria" w:eastAsia="Cambria" w:hAnsi="Cambria" w:cs="Cambria"/>
          <w:sz w:val="18"/>
          <w:szCs w:val="18"/>
        </w:rPr>
        <w:t xml:space="preserve"> Banjarmasin,</w:t>
      </w:r>
      <w:r w:rsidR="00B96187">
        <w:rPr>
          <w:rFonts w:ascii="Cambria" w:eastAsia="Cambria" w:hAnsi="Cambria" w:cs="Cambria"/>
          <w:sz w:val="18"/>
          <w:szCs w:val="18"/>
        </w:rPr>
        <w:t xml:space="preserve"> Indonesia</w:t>
      </w:r>
    </w:p>
    <w:p w14:paraId="2E73A992" w14:textId="77777777" w:rsidR="003B68F7" w:rsidRDefault="003B68F7">
      <w:pPr>
        <w:ind w:left="142" w:hanging="142"/>
        <w:jc w:val="both"/>
        <w:rPr>
          <w:rFonts w:ascii="Cambria" w:eastAsia="Cambria" w:hAnsi="Cambria" w:cs="Cambria"/>
          <w:b/>
          <w:i/>
          <w:color w:val="FF0000"/>
          <w:sz w:val="18"/>
          <w:szCs w:val="18"/>
        </w:rPr>
      </w:pPr>
    </w:p>
    <w:p w14:paraId="2E73A993" w14:textId="19BA336C" w:rsidR="003B68F7" w:rsidRDefault="00460A81">
      <w:pPr>
        <w:rPr>
          <w:rFonts w:ascii="Cambria" w:eastAsia="Cambria" w:hAnsi="Cambria" w:cs="Cambria"/>
          <w:sz w:val="18"/>
          <w:szCs w:val="18"/>
        </w:rPr>
      </w:pPr>
      <w:r>
        <w:rPr>
          <w:rFonts w:ascii="Cambria" w:eastAsia="Cambria" w:hAnsi="Cambria" w:cs="Cambria"/>
          <w:sz w:val="18"/>
          <w:szCs w:val="18"/>
        </w:rPr>
        <w:t>Email:</w:t>
      </w:r>
      <w:r w:rsidR="000C2F37">
        <w:rPr>
          <w:rFonts w:ascii="Cambria" w:eastAsia="Cambria" w:hAnsi="Cambria" w:cs="Cambria"/>
          <w:sz w:val="18"/>
          <w:szCs w:val="18"/>
        </w:rPr>
        <w:t xml:space="preserve"> </w:t>
      </w:r>
      <w:hyperlink r:id="rId7" w:history="1">
        <w:r w:rsidR="00B57763" w:rsidRPr="00EA43C5">
          <w:rPr>
            <w:rStyle w:val="Hyperlink"/>
            <w:rFonts w:ascii="Cambria" w:eastAsia="Cambria" w:hAnsi="Cambria" w:cs="Cambria"/>
            <w:sz w:val="18"/>
            <w:szCs w:val="18"/>
          </w:rPr>
          <w:t>marlianigusti9@gmail.com</w:t>
        </w:r>
      </w:hyperlink>
    </w:p>
    <w:p w14:paraId="2E73A994" w14:textId="77777777" w:rsidR="003B68F7" w:rsidRDefault="003B68F7">
      <w:pPr>
        <w:tabs>
          <w:tab w:val="left" w:pos="0"/>
        </w:tabs>
        <w:rPr>
          <w:rFonts w:ascii="Cambria" w:eastAsia="Cambria" w:hAnsi="Cambria" w:cs="Cambria"/>
        </w:rPr>
      </w:pPr>
    </w:p>
    <w:p w14:paraId="7F48CC67" w14:textId="2EB85F3E" w:rsidR="006F0B23" w:rsidRDefault="006F0B23" w:rsidP="006F0B23">
      <w:pPr>
        <w:tabs>
          <w:tab w:val="left" w:pos="5103"/>
          <w:tab w:val="left" w:pos="6096"/>
          <w:tab w:val="left" w:pos="6379"/>
          <w:tab w:val="left" w:pos="6804"/>
        </w:tabs>
        <w:ind w:left="1560" w:hanging="709"/>
        <w:rPr>
          <w:rFonts w:ascii="Cambria" w:eastAsia="Cambria" w:hAnsi="Cambria" w:cs="Cambria"/>
          <w:sz w:val="18"/>
          <w:szCs w:val="18"/>
        </w:rPr>
      </w:pPr>
      <w:r>
        <w:rPr>
          <w:rFonts w:ascii="Cambria" w:eastAsia="Cambria" w:hAnsi="Cambria" w:cs="Cambria"/>
          <w:sz w:val="18"/>
          <w:szCs w:val="18"/>
        </w:rPr>
        <w:t>Entered</w:t>
      </w:r>
      <w:r>
        <w:rPr>
          <w:rFonts w:ascii="Cambria" w:eastAsia="Cambria" w:hAnsi="Cambria" w:cs="Cambria"/>
          <w:sz w:val="18"/>
          <w:szCs w:val="18"/>
        </w:rPr>
        <w:tab/>
        <w:t>:</w:t>
      </w:r>
      <w:r w:rsidR="00CA2F73">
        <w:rPr>
          <w:rFonts w:ascii="Cambria" w:eastAsia="Cambria" w:hAnsi="Cambria" w:cs="Cambria"/>
          <w:sz w:val="18"/>
          <w:szCs w:val="18"/>
        </w:rPr>
        <w:t xml:space="preserve"> </w:t>
      </w:r>
      <w:r w:rsidR="007136B3">
        <w:rPr>
          <w:rFonts w:ascii="Cambria" w:eastAsia="Cambria" w:hAnsi="Cambria" w:cs="Cambria"/>
          <w:sz w:val="18"/>
          <w:szCs w:val="18"/>
        </w:rPr>
        <w:t>August 13, 2026</w:t>
      </w:r>
      <w:r>
        <w:rPr>
          <w:rFonts w:ascii="Cambria" w:eastAsia="Cambria" w:hAnsi="Cambria" w:cs="Cambria"/>
          <w:sz w:val="18"/>
          <w:szCs w:val="18"/>
        </w:rPr>
        <w:tab/>
        <w:t xml:space="preserve">Revised   : </w:t>
      </w:r>
      <w:r w:rsidR="00161DFE">
        <w:rPr>
          <w:rFonts w:ascii="Cambria" w:eastAsia="Cambria" w:hAnsi="Cambria" w:cs="Cambria"/>
          <w:sz w:val="18"/>
          <w:szCs w:val="18"/>
        </w:rPr>
        <w:t>August 15, 2026</w:t>
      </w:r>
    </w:p>
    <w:p w14:paraId="2E73A997" w14:textId="6D14ADAB" w:rsidR="003B68F7" w:rsidRDefault="006F0B23" w:rsidP="006F0B23">
      <w:pPr>
        <w:ind w:left="131" w:firstLine="720"/>
        <w:rPr>
          <w:rFonts w:ascii="Cambria" w:eastAsia="Cambria" w:hAnsi="Cambria" w:cs="Cambria"/>
          <w:sz w:val="20"/>
          <w:szCs w:val="20"/>
        </w:rPr>
      </w:pPr>
      <w:r>
        <w:rPr>
          <w:rFonts w:ascii="Cambria" w:eastAsia="Cambria" w:hAnsi="Cambria" w:cs="Cambria"/>
          <w:sz w:val="18"/>
          <w:szCs w:val="18"/>
        </w:rPr>
        <w:t>Accepted :</w:t>
      </w:r>
      <w:r w:rsidR="00161DFE">
        <w:rPr>
          <w:rFonts w:ascii="Cambria" w:eastAsia="Cambria" w:hAnsi="Cambria" w:cs="Cambria"/>
          <w:sz w:val="18"/>
          <w:szCs w:val="18"/>
        </w:rPr>
        <w:t xml:space="preserve"> August 20,2026</w:t>
      </w:r>
      <w:r w:rsidR="00B96187">
        <w:rPr>
          <w:rFonts w:ascii="Cambria" w:eastAsia="Cambria" w:hAnsi="Cambria" w:cs="Cambria"/>
          <w:sz w:val="18"/>
          <w:szCs w:val="18"/>
        </w:rPr>
        <w:tab/>
      </w:r>
      <w:r w:rsidR="00B96187">
        <w:rPr>
          <w:rFonts w:ascii="Cambria" w:eastAsia="Cambria" w:hAnsi="Cambria" w:cs="Cambria"/>
          <w:sz w:val="18"/>
          <w:szCs w:val="18"/>
        </w:rPr>
        <w:tab/>
      </w:r>
      <w:r>
        <w:rPr>
          <w:rFonts w:ascii="Cambria" w:eastAsia="Cambria" w:hAnsi="Cambria" w:cs="Cambria"/>
          <w:sz w:val="18"/>
          <w:szCs w:val="18"/>
        </w:rPr>
        <w:tab/>
        <w:t xml:space="preserve"> Published : </w:t>
      </w:r>
      <w:r w:rsidR="00CA2F73">
        <w:rPr>
          <w:rFonts w:ascii="Cambria" w:eastAsia="Cambria" w:hAnsi="Cambria" w:cs="Cambria"/>
          <w:sz w:val="18"/>
          <w:szCs w:val="18"/>
        </w:rPr>
        <w:t>August 25, 2026</w:t>
      </w:r>
    </w:p>
    <w:p w14:paraId="5BCEA026" w14:textId="77777777" w:rsidR="006F0B23" w:rsidRDefault="006F0B23" w:rsidP="00161DFE">
      <w:pPr>
        <w:rPr>
          <w:rFonts w:ascii="Cambria" w:eastAsia="Cambria" w:hAnsi="Cambria" w:cs="Cambria"/>
          <w:b/>
          <w:sz w:val="20"/>
          <w:szCs w:val="20"/>
        </w:rPr>
      </w:pPr>
    </w:p>
    <w:p w14:paraId="374677EB" w14:textId="77777777" w:rsidR="006F0B23" w:rsidRDefault="006F0B23">
      <w:pPr>
        <w:jc w:val="center"/>
        <w:rPr>
          <w:rFonts w:ascii="Cambria" w:eastAsia="Cambria" w:hAnsi="Cambria" w:cs="Cambria"/>
          <w:b/>
          <w:sz w:val="20"/>
          <w:szCs w:val="20"/>
        </w:rPr>
      </w:pPr>
    </w:p>
    <w:p w14:paraId="2E73A998" w14:textId="20E2C905" w:rsidR="003B68F7" w:rsidRDefault="00460A81">
      <w:pPr>
        <w:jc w:val="center"/>
        <w:rPr>
          <w:rFonts w:ascii="Cambria" w:eastAsia="Cambria" w:hAnsi="Cambria" w:cs="Cambria"/>
          <w:b/>
          <w:sz w:val="20"/>
          <w:szCs w:val="20"/>
        </w:rPr>
      </w:pPr>
      <w:r>
        <w:rPr>
          <w:rFonts w:ascii="Cambria" w:eastAsia="Cambria" w:hAnsi="Cambria" w:cs="Cambria"/>
          <w:b/>
          <w:sz w:val="20"/>
          <w:szCs w:val="20"/>
        </w:rPr>
        <w:t>ABSTRACT</w:t>
      </w:r>
    </w:p>
    <w:p w14:paraId="2E73A999" w14:textId="77777777" w:rsidR="003B68F7" w:rsidRDefault="003B68F7">
      <w:pPr>
        <w:jc w:val="center"/>
        <w:rPr>
          <w:rFonts w:ascii="Cambria" w:eastAsia="Cambria" w:hAnsi="Cambria" w:cs="Cambria"/>
          <w:b/>
          <w:sz w:val="20"/>
          <w:szCs w:val="20"/>
        </w:rPr>
      </w:pPr>
    </w:p>
    <w:p w14:paraId="2E73A99A" w14:textId="21ED7882" w:rsidR="003B68F7" w:rsidRDefault="0075382C">
      <w:pPr>
        <w:jc w:val="both"/>
        <w:rPr>
          <w:rFonts w:ascii="Cambria" w:eastAsia="Cambria" w:hAnsi="Cambria" w:cs="Cambria"/>
          <w:i/>
          <w:sz w:val="20"/>
          <w:szCs w:val="20"/>
        </w:rPr>
      </w:pPr>
      <w:r w:rsidRPr="0075382C">
        <w:rPr>
          <w:rFonts w:ascii="Cambria" w:eastAsia="Cambria" w:hAnsi="Cambria" w:cs="Cambria"/>
          <w:i/>
          <w:sz w:val="20"/>
          <w:szCs w:val="20"/>
        </w:rPr>
        <w:t>The rapid diffusion of artificial intelligence (AI) across e-commerce, social commerce, and digital marketing platforms has fundamentally reshaped how consumers search, evaluate, and decide to purchase products and services online. This study examines the relationship between AI adoption and consumer purchase decisions within the digital economy by synthesizing findings from twenty-five recent scholarly works published between 2023 and 2026. Using a systematic literature review and conceptual-analytical approach, the study integrates the Technology Acceptance Model (TAM) and the Unified Theory of Acceptance and Use of Technology (UTAUT2) with the Stimulus-Organism-Response (S-O-R) framework to propose an integrative conceptual model in which consumer trust and customer experience mediate the relationship between AI adoption antecedents (personalization, perceived usefulness, credibility, and conversational-agent interaction) and purchase decisions, moderated by the broader digital economy context. The review finds converging evidence that AI-enabled personalization, recommendation systems, and chatbots significantly and positively influence purchase intention and decision, primarily through enhanced trust, convenience, and customer experience, although effects vary by generational cohort, sector, and cultural context, and are constrained by privacy and ethical concerns. The study contributes a synthesized, up-to-date conceptual model and identifies avenues for future empirical validation, particularly in emerging digital economies such as Indonesia</w:t>
      </w:r>
      <w:r w:rsidR="005C6E27" w:rsidRPr="005C6E27">
        <w:rPr>
          <w:rFonts w:ascii="Cambria" w:eastAsia="Cambria" w:hAnsi="Cambria" w:cs="Cambria"/>
          <w:i/>
          <w:sz w:val="20"/>
          <w:szCs w:val="20"/>
        </w:rPr>
        <w:t>.</w:t>
      </w:r>
    </w:p>
    <w:p w14:paraId="2E73A99B" w14:textId="77777777" w:rsidR="003B68F7" w:rsidRDefault="003B68F7">
      <w:pPr>
        <w:rPr>
          <w:rFonts w:ascii="Cambria" w:eastAsia="Cambria" w:hAnsi="Cambria" w:cs="Cambria"/>
          <w:b/>
        </w:rPr>
      </w:pPr>
    </w:p>
    <w:p w14:paraId="2E73A99C" w14:textId="62C3D31F" w:rsidR="003B68F7" w:rsidRDefault="00460A81">
      <w:pPr>
        <w:rPr>
          <w:rFonts w:ascii="Cambria" w:eastAsia="Cambria" w:hAnsi="Cambria" w:cs="Cambria"/>
          <w:b/>
          <w:i/>
          <w:sz w:val="20"/>
          <w:szCs w:val="20"/>
        </w:rPr>
      </w:pPr>
      <w:r>
        <w:rPr>
          <w:rFonts w:ascii="Cambria" w:eastAsia="Cambria" w:hAnsi="Cambria" w:cs="Cambria"/>
          <w:b/>
          <w:i/>
          <w:sz w:val="20"/>
          <w:szCs w:val="20"/>
        </w:rPr>
        <w:t xml:space="preserve">Keywords: </w:t>
      </w:r>
      <w:r w:rsidR="0075382C" w:rsidRPr="0075382C">
        <w:rPr>
          <w:rFonts w:ascii="Cambria" w:eastAsia="Cambria" w:hAnsi="Cambria" w:cs="Cambria"/>
          <w:i/>
          <w:sz w:val="20"/>
          <w:szCs w:val="20"/>
        </w:rPr>
        <w:t>artificial intelligence; AI adoption; consumer purchase decision; digital economy; consumer trust</w:t>
      </w:r>
      <w:r>
        <w:rPr>
          <w:rFonts w:ascii="Cambria" w:eastAsia="Cambria" w:hAnsi="Cambria" w:cs="Cambria"/>
          <w:b/>
          <w:i/>
          <w:sz w:val="20"/>
          <w:szCs w:val="20"/>
        </w:rPr>
        <w:tab/>
      </w:r>
      <w:r>
        <w:rPr>
          <w:rFonts w:ascii="Cambria" w:eastAsia="Cambria" w:hAnsi="Cambria" w:cs="Cambria"/>
          <w:b/>
          <w:i/>
          <w:sz w:val="20"/>
          <w:szCs w:val="20"/>
        </w:rPr>
        <w:tab/>
      </w:r>
    </w:p>
    <w:p w14:paraId="2E73A99D" w14:textId="77777777" w:rsidR="003B68F7" w:rsidRDefault="003B68F7">
      <w:pPr>
        <w:pBdr>
          <w:top w:val="nil"/>
          <w:left w:val="nil"/>
          <w:bottom w:val="nil"/>
          <w:right w:val="nil"/>
          <w:between w:val="nil"/>
        </w:pBdr>
        <w:jc w:val="both"/>
        <w:rPr>
          <w:rFonts w:ascii="Cambria" w:eastAsia="Cambria" w:hAnsi="Cambria" w:cs="Cambria"/>
          <w:b/>
          <w:color w:val="ED7D31"/>
        </w:rPr>
      </w:pPr>
    </w:p>
    <w:p w14:paraId="2E73A99E" w14:textId="100CC0AE" w:rsidR="003B68F7" w:rsidRDefault="00460A81">
      <w:pPr>
        <w:rPr>
          <w:rFonts w:ascii="Cambria" w:eastAsia="Cambria" w:hAnsi="Cambria" w:cs="Cambria"/>
          <w:b/>
        </w:rPr>
      </w:pPr>
      <w:r>
        <w:rPr>
          <w:rFonts w:ascii="Cambria" w:eastAsia="Cambria" w:hAnsi="Cambria" w:cs="Cambria"/>
          <w:b/>
        </w:rPr>
        <w:t>INTRODUCTION</w:t>
      </w:r>
    </w:p>
    <w:p w14:paraId="27C3A712" w14:textId="77777777"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 xml:space="preserve">The twenty-first century digital economy is characterized by an unprecedented convergence of data-driven technologies, ubiquitous internet connectivity, and platform-based commerce that has transformed the way goods and services are produced, marketed, and consumed. Within this transformation, artificial intelligence (AI) has emerged as one of the most consequential general-purpose technologies, permeating nearly every stage of the consumer journey, from product discovery and search to post-purchase support (Nogueira et al., 2025). Retailers and digital marketplaces increasingly deploy machine-learning-based recommendation engines, natural-language chatbots, dynamic pricing algorithms, and computer-vision-enabled visual search to personalize offerings and streamline decision-making for consumers (Fu et al., 2023). Global industry evidence indicates that AI-enabled retail applications are growing rapidly, and a majority of businesses now regard AI as central to improving customer relationships and competitive performance (Cuesta-Valiño et al., 2025). As AI capabilities mature, understanding how these technologies influence the psychological and behavioral </w:t>
      </w:r>
      <w:r w:rsidRPr="0075382C">
        <w:rPr>
          <w:rFonts w:ascii="Cambria" w:eastAsia="Cambria" w:hAnsi="Cambria" w:cs="Cambria"/>
        </w:rPr>
        <w:lastRenderedPageBreak/>
        <w:t>processes underlying consumer purchase decisions has become an urgent theoretical and managerial concern, particularly within emerging digital economies where adoption is accelerating rapidly but regulatory and consumer-protection frameworks remain nascent.</w:t>
      </w:r>
    </w:p>
    <w:p w14:paraId="17ED13DD" w14:textId="77777777"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Consumer purchase decision has long been conceptualized within marketing theory as a multi-stage cognitive and affective process encompassing need recognition, information search, evaluation of alternatives, purchase decision, and post-purchase evaluation (Dixit et al., 2025). Classical behavioral models such as the Stimulus-Organism-Response (S-O-R) framework, together with technology-adoption theories including the Technology Acceptance Model (TAM) and the Unified Theory of Acceptance and Use of Technology (UTAUT2), have been widely applied to explain how external stimuli, perceived usefulness, and social influence shape behavioral intention and actual usage (Dixit et al., 2025; Santy &amp; Iffan, 2023). The introduction of AI as a novel digital stimulus complicates these established models, because AI systems do not merely present information passively; they actively learn from, adapt to, and, in many cases, anticipate consumer preferences (Nasution et al., 2025).</w:t>
      </w:r>
    </w:p>
    <w:p w14:paraId="7D1FD335" w14:textId="09E05C0F"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Empirical interest in AI-driven consumer behavior has grown sharply since 2023, generating a fragmented but rapidly expanding body of literature. Several studies report that AI-based personalization</w:t>
      </w:r>
      <w:r w:rsidR="00DA4EE6">
        <w:rPr>
          <w:rFonts w:ascii="Cambria" w:eastAsia="Cambria" w:hAnsi="Cambria" w:cs="Cambria"/>
        </w:rPr>
        <w:t xml:space="preserve"> </w:t>
      </w:r>
      <w:r w:rsidRPr="0075382C">
        <w:rPr>
          <w:rFonts w:ascii="Cambria" w:eastAsia="Cambria" w:hAnsi="Cambria" w:cs="Cambria"/>
        </w:rPr>
        <w:t>including recommendation systems, tailored advertisements, and adaptive user interfaces -- significantly increases purchase intention by reducing search costs and increasing the perceived relevance of offers (Arum et al., 2026; Chowdhury et al., 2024; Karthik &amp; Ramprasad, 2025). Chatbots and conversational agents have similarly been found to enhance purchase decisions by providing real-time assistance, reducing perceived risk, and creating a sense of responsiveness that traditional e-commerce interfaces lack (Budianto et al., 2026; Latha &amp; Chandran, 2025). Beyond conventional e-commerce, AI's influence extends into live-streaming commerce, where algorithmically curated content and real-time recommendation significantly shape both impulsive and planned purchase behavior (Mei et al., 2025), and into social commerce and AI-generated sponsored content, where consumers' AI literacy moderates their trust in, and response to, AI-generated promotional material (Liu et al., 2025).</w:t>
      </w:r>
    </w:p>
    <w:p w14:paraId="48F694DC" w14:textId="71222EC6"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Research also indicates considerable heterogeneity in how AI adoption translates into purchase decisions across demographic and cultural contexts. Studies focusing on Generation Z consumers widely regarded as digital natives</w:t>
      </w:r>
      <w:r w:rsidR="00DA4EE6">
        <w:rPr>
          <w:rFonts w:ascii="Cambria" w:eastAsia="Cambria" w:hAnsi="Cambria" w:cs="Cambria"/>
        </w:rPr>
        <w:t xml:space="preserve"> </w:t>
      </w:r>
      <w:r w:rsidRPr="0075382C">
        <w:rPr>
          <w:rFonts w:ascii="Cambria" w:eastAsia="Cambria" w:hAnsi="Cambria" w:cs="Cambria"/>
        </w:rPr>
        <w:t>consistently report stronger AI adoption and more favorable attitudes toward AI-mediated shopping experiences compared with older cohorts, although this generation is also more sensitive to concerns about data privacy and algorithmic manipulation (Pradhanawati &amp; Pinem, 2025; Shiddieqy &amp; Widarmanti, 2025). Cross-country and sector-specific investigations further reveal that the strength of the AI-purchase decision relationship is contingent on contextual moderators such as virtual customer experience in telecommunications services (Mousa et al., 2026), sustainability orientation in green-marketing contexts (Alsaffarini &amp; Awwad, 2026), and cultural attitudes toward automated decision aids in Asian and Mongolian retail markets (Chen &amp; Thianthai, 2026; Gantulga &amp; Baljinnyam, 2025). Trust repeatedly emerges as a central psychological mechanism: several studies position consumer trust and customer experience as key mediators that translate AI credibility, versatility, and perceived value into concrete purchasing behavior, while privacy, security, and data-ethics concerns act as persistent inhibitors of full AI adoption (Cuesta-Valiño et al., 2025; Dora &amp; Saefudin, 2025; Santy &amp; Iffan, 2023).</w:t>
      </w:r>
    </w:p>
    <w:p w14:paraId="36B99876" w14:textId="37505F6A"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Complementing these primary studies, recent systematic and bibliometric reviews confirm that the AI-consumer behavior literature has expanded rapidly but remains conceptually scattered across disciplines, methodologies, and geographic contexts. Ribeiro et al. (2025) mapped 132 Web of Science-indexed articles and identified five thematic clusters consumer experience, relationship, online challenges, functionality, and autonomous purchasing</w:t>
      </w:r>
      <w:r w:rsidR="00B57763">
        <w:rPr>
          <w:rFonts w:ascii="Cambria" w:eastAsia="Cambria" w:hAnsi="Cambria" w:cs="Cambria"/>
        </w:rPr>
        <w:t xml:space="preserve"> </w:t>
      </w:r>
      <w:r w:rsidRPr="0075382C">
        <w:rPr>
          <w:rFonts w:ascii="Cambria" w:eastAsia="Cambria" w:hAnsi="Cambria" w:cs="Cambria"/>
        </w:rPr>
        <w:t>while cautioning that few studies integrate these clusters into a single, testable conceptual structure. Similarly, Saleh and Zeebaree (2025) and Singh et al. (2026) find that although AI personalization and purchase-intention research has grown substantially since 2023, most contributions remain sector-specific or country-specific, which limits generalizability. Nogueira et al. (2025), synthesizing 561 publications, explicitly call for more integrative theoretical framing that connects AI adoption antecedents with downstream purchase and loyalty outcomes through established consumer-behavior mechanisms, rather than treating AI merely as an isolated marketing tool.</w:t>
      </w:r>
    </w:p>
    <w:p w14:paraId="091AA6DC" w14:textId="588A0859" w:rsidR="0075382C" w:rsidRPr="0075382C"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Despite this expanding body of knowledge, at least three gaps remain unresolved. First, most existing studies examine either AI adoption antecedents (e.g., perceived usefulness, personalization) or purchase-decision outcomes in isolation, rather than modeling the full antecedent-mediator-outcome pathway within a single integrative framework. Second, comparatively few studies explicitly situate the AI-purchase decision relationship within the broader structural conditions of the digital economy -- including platform infrastructure, data governance, and market maturity</w:t>
      </w:r>
      <w:r w:rsidR="00B57763">
        <w:rPr>
          <w:rFonts w:ascii="Cambria" w:eastAsia="Cambria" w:hAnsi="Cambria" w:cs="Cambria"/>
        </w:rPr>
        <w:t xml:space="preserve"> </w:t>
      </w:r>
      <w:r w:rsidRPr="0075382C">
        <w:rPr>
          <w:rFonts w:ascii="Cambria" w:eastAsia="Cambria" w:hAnsi="Cambria" w:cs="Cambria"/>
        </w:rPr>
        <w:t>treating the digital economy as a backdrop rather than an explicit moderating context. Third, synthesis efforts to date have been predominantly bibliometric or descriptive, offering thematic maps but stopping short of proposing a parsimonious, theory-grounded conceptual model that can guide future empirical validation, particularly in emerging-economy settings such as Indonesia and Southeast Asia. The novelty of this study lies in integrating TAM/UTAUT2 technology-adoption logic with the S-O-R behavioral framework to construct and justify a single mediated-moderated conceptual model</w:t>
      </w:r>
      <w:r w:rsidR="00DA4EE6">
        <w:rPr>
          <w:rFonts w:ascii="Cambria" w:eastAsia="Cambria" w:hAnsi="Cambria" w:cs="Cambria"/>
        </w:rPr>
        <w:t xml:space="preserve"> </w:t>
      </w:r>
      <w:r w:rsidRPr="0075382C">
        <w:rPr>
          <w:rFonts w:ascii="Cambria" w:eastAsia="Cambria" w:hAnsi="Cambria" w:cs="Cambria"/>
        </w:rPr>
        <w:t>linking AI adoption antecedents to consumer purchase decisions through consumer trust and customer experience, moderated by the digital economy context derived from a rigorous synthesis of the most recent (2023-2026) peer-reviewed literature. This synthesis provides both a theoretical bridge across previously disconnected research streams and a testable foundation for subsequent empirical research.</w:t>
      </w:r>
    </w:p>
    <w:p w14:paraId="21CC4A63" w14:textId="5E7FFE0B" w:rsidR="005B4D8A" w:rsidRDefault="0075382C" w:rsidP="0075382C">
      <w:pPr>
        <w:pBdr>
          <w:top w:val="nil"/>
          <w:left w:val="nil"/>
          <w:bottom w:val="nil"/>
          <w:right w:val="nil"/>
          <w:between w:val="nil"/>
        </w:pBdr>
        <w:ind w:firstLine="567"/>
        <w:jc w:val="both"/>
        <w:rPr>
          <w:rFonts w:ascii="Cambria" w:eastAsia="Cambria" w:hAnsi="Cambria" w:cs="Cambria"/>
        </w:rPr>
      </w:pPr>
      <w:r w:rsidRPr="0075382C">
        <w:rPr>
          <w:rFonts w:ascii="Cambria" w:eastAsia="Cambria" w:hAnsi="Cambria" w:cs="Cambria"/>
        </w:rPr>
        <w:t>Accordingly, this study aims to (1) synthesize recent empirical and conceptual evidence on the relationship between AI adoption and consumer purchase decisions in the digital economy, (2) identify the key antecedents, mediators, and moderators reported in the literature, and (3) propose an integrative conceptual framework that can serve as a foundation for future quantitative validation, particularly within emerging digital-economy contexts</w:t>
      </w:r>
      <w:r w:rsidR="00B967AC">
        <w:rPr>
          <w:rFonts w:ascii="Cambria" w:eastAsia="Cambria" w:hAnsi="Cambria" w:cs="Cambria"/>
        </w:rPr>
        <w:t>.</w:t>
      </w:r>
    </w:p>
    <w:p w14:paraId="1E68299C" w14:textId="77777777" w:rsidR="005B4D8A" w:rsidRDefault="005B4D8A" w:rsidP="005B4D8A">
      <w:pPr>
        <w:pBdr>
          <w:top w:val="nil"/>
          <w:left w:val="nil"/>
          <w:bottom w:val="nil"/>
          <w:right w:val="nil"/>
          <w:between w:val="nil"/>
        </w:pBdr>
        <w:ind w:firstLine="567"/>
        <w:jc w:val="both"/>
        <w:rPr>
          <w:rFonts w:ascii="Cambria" w:eastAsia="Cambria" w:hAnsi="Cambria" w:cs="Cambria"/>
        </w:rPr>
      </w:pPr>
    </w:p>
    <w:p w14:paraId="7D1EB013" w14:textId="77777777" w:rsidR="005B4D8A" w:rsidRDefault="005B4D8A">
      <w:pPr>
        <w:pBdr>
          <w:top w:val="nil"/>
          <w:left w:val="nil"/>
          <w:bottom w:val="nil"/>
          <w:right w:val="nil"/>
          <w:between w:val="nil"/>
        </w:pBdr>
        <w:jc w:val="both"/>
        <w:rPr>
          <w:rFonts w:ascii="Cambria" w:eastAsia="Cambria" w:hAnsi="Cambria" w:cs="Cambria"/>
          <w:b/>
        </w:rPr>
      </w:pPr>
    </w:p>
    <w:p w14:paraId="2E73A9A1" w14:textId="3E75F1A8" w:rsidR="003B68F7" w:rsidRDefault="00460A81">
      <w:pPr>
        <w:rPr>
          <w:rFonts w:ascii="Cambria" w:eastAsia="Cambria" w:hAnsi="Cambria" w:cs="Cambria"/>
          <w:b/>
        </w:rPr>
      </w:pPr>
      <w:r>
        <w:rPr>
          <w:rFonts w:ascii="Cambria" w:eastAsia="Cambria" w:hAnsi="Cambria" w:cs="Cambria"/>
          <w:b/>
        </w:rPr>
        <w:t>METHODS</w:t>
      </w:r>
    </w:p>
    <w:p w14:paraId="4A5A6693" w14:textId="77777777" w:rsidR="00C25D8B" w:rsidRPr="0075382C" w:rsidRDefault="00C25D8B" w:rsidP="00C25D8B">
      <w:pPr>
        <w:ind w:firstLine="720"/>
        <w:jc w:val="both"/>
        <w:rPr>
          <w:rFonts w:ascii="Cambria" w:eastAsia="Georgia" w:hAnsi="Cambria" w:cs="Georgia"/>
        </w:rPr>
      </w:pPr>
      <w:r>
        <w:rPr>
          <w:rFonts w:ascii="Cambria" w:eastAsia="Georgia" w:hAnsi="Cambria" w:cs="Georgia"/>
        </w:rPr>
        <w:t>This study employs a qualitative, descriptive research design based on a systematic literature review (SLR) and conceptual-analytical synthesis, rather than primary field data collection, in order to integrate dispersed empirical findings into a coherent theoretical model (Saleh &amp; Zeebaree, 2025; Singh et al., 2026). The review process followed four sequential stages adapted from established SLR protocols: identification, screening, eligibility assessment, and inclusion/synthesis.</w:t>
      </w:r>
    </w:p>
    <w:p w14:paraId="091E0174" w14:textId="77777777" w:rsidR="00C25D8B" w:rsidRPr="0075382C" w:rsidRDefault="00C25D8B" w:rsidP="00C25D8B">
      <w:pPr>
        <w:ind w:firstLine="720"/>
        <w:jc w:val="both"/>
        <w:rPr>
          <w:rFonts w:ascii="Cambria" w:eastAsia="Georgia" w:hAnsi="Cambria" w:cs="Georgia"/>
        </w:rPr>
      </w:pPr>
      <w:r>
        <w:rPr>
          <w:rFonts w:ascii="Cambria" w:eastAsia="Georgia" w:hAnsi="Cambria" w:cs="Georgia"/>
        </w:rPr>
        <w:t>In the identification stage, relevant literature was retrieved from Google Scholar, Scopus-indexed publisher databases (Springer, Elsevier/ScienceDirect, MDPI, IEEE Xplore, Emerald), and the Consensus academic search engine, using combinations of the keywords “artificial intelligence,” “AI adoption,” “consumer purchase decision,” “consumer behavior,” and “digital economy.” The initial search yielded more than 40 candidate records published between 2023 and 2026.</w:t>
      </w:r>
    </w:p>
    <w:p w14:paraId="5F2A6FC4" w14:textId="77777777" w:rsidR="00C25D8B" w:rsidRPr="0075382C" w:rsidRDefault="00C25D8B" w:rsidP="00C25D8B">
      <w:pPr>
        <w:ind w:firstLine="720"/>
        <w:jc w:val="both"/>
        <w:rPr>
          <w:rFonts w:ascii="Cambria" w:eastAsia="Georgia" w:hAnsi="Cambria" w:cs="Georgia"/>
        </w:rPr>
      </w:pPr>
      <w:r>
        <w:rPr>
          <w:rFonts w:ascii="Cambria" w:eastAsia="Georgia" w:hAnsi="Cambria" w:cs="Georgia"/>
        </w:rPr>
        <w:t>In the screening stage, titles and abstracts were reviewed to exclude records that were not peer-reviewed journal articles or indexed conference proceedings, were unrelated to consumer purchase decisions, or lacked a resolvable, active digital object identifier (DOI). In the eligibility stage, the full text of the remaining records was assessed against four inclusion criteria: (1) publication in a peer-reviewed academic outlet between 2023 and 2026, (2) explicit focus on AI adoption, AI-enabled marketing, or AI-mediated consumer behavior in relation to purchase decisions, (3) availability through Google Scholar or an equivalent open academic index, and (4) presence of a verifiable, active DOI. Following this process, 25 articles were retained for final synthesis (a representative subset is summarized in Table 1), comprising empirical survey-based studies employing structural equation modeling (SEM) or PLS-SEM, conceptual papers, and systematic or bibliometric reviews. Of the 25 retained articles, the 15 presented in Table 1 were selected as the primary empirical and bibliometric anchors for each of the six thematic clusters identified in the synthesis; the remaining ten sources, which provide converging or context-specific support (e.g., Karthik &amp; Ramprasad, 2025; Latha &amp; Chandran, 2025; Santy &amp; Iffan, 2023; Saleh &amp; Zeebaree, 2025; Singh et al., 2026; Gantulga &amp; Baljinnyam, 2025), are cited narratively within the corresponding thematic discussion in the Results and Discussion section rather than tabulated separately.</w:t>
      </w:r>
    </w:p>
    <w:p w14:paraId="0EA31E43" w14:textId="021088D3" w:rsidR="00BE34A8" w:rsidRPr="00BE34A8" w:rsidRDefault="00C25D8B" w:rsidP="00C25D8B">
      <w:pPr>
        <w:ind w:firstLine="720"/>
        <w:jc w:val="both"/>
        <w:rPr>
          <w:rFonts w:ascii="Cambria" w:hAnsi="Cambria"/>
        </w:rPr>
      </w:pPr>
      <w:r>
        <w:rPr>
          <w:rFonts w:ascii="Cambria" w:eastAsia="Georgia" w:hAnsi="Cambria" w:cs="Georgia"/>
        </w:rPr>
        <w:t>Data from the 25 included studies were analyzed using thematic content analysis: findings were coded according to the antecedent, mediating, and outcome variables reported, then grouped into recurring themes (personalization, trust, chatbots, generational and cultural variance, sector-specific effects, and ethical/privacy concerns). These themes were subsequently mapped onto TAM, UTAUT2, and the S-O-R framework to construct the integrative conceptual model shown in Figure 1. In this model, AI adoption antecedents perceived usefulness and ease of use, AI-based personalization, AI trust and credibility, and chatbot/virtual-assistant interaction function as stimuli that shape AI adoption; AI adoption, in turn, influences consumer purchase decision both directly (H1) and indirectly (H2) through consumer trust and customer experience as a mediating organismic state; and the entire structure is theorized to operate within, and be shaped by, the broader digital economy context as a moderating environment.</w:t>
      </w:r>
    </w:p>
    <w:p w14:paraId="20C0AE93" w14:textId="641128D1" w:rsidR="00BE34A8" w:rsidRPr="00BC45AA" w:rsidRDefault="0075382C" w:rsidP="00BE34A8">
      <w:pPr>
        <w:spacing w:before="200"/>
        <w:jc w:val="center"/>
        <w:rPr>
          <w:rFonts w:ascii="Cambria" w:hAnsi="Cambria"/>
          <w:sz w:val="22"/>
          <w:szCs w:val="22"/>
        </w:rPr>
      </w:pPr>
      <w:r w:rsidRPr="009111F8">
        <w:rPr>
          <w:rFonts w:ascii="Cambria" w:hAnsi="Cambria"/>
          <w:noProof/>
        </w:rPr>
        <w:drawing>
          <wp:inline distT="0" distB="0" distL="0" distR="0" wp14:anchorId="0157CDC5" wp14:editId="1A274736">
            <wp:extent cx="4874559" cy="25717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876579" cy="2572816"/>
                    </a:xfrm>
                    <a:prstGeom prst="rect">
                      <a:avLst/>
                    </a:prstGeom>
                  </pic:spPr>
                </pic:pic>
              </a:graphicData>
            </a:graphic>
          </wp:inline>
        </w:drawing>
      </w:r>
    </w:p>
    <w:p w14:paraId="0B6ED905" w14:textId="77777777" w:rsidR="0075382C" w:rsidRDefault="00BE34A8" w:rsidP="00BE34A8">
      <w:pPr>
        <w:spacing w:after="300"/>
        <w:jc w:val="center"/>
        <w:rPr>
          <w:rFonts w:ascii="Cambria" w:eastAsia="Georgia" w:hAnsi="Cambria" w:cs="Georgia"/>
          <w:i/>
          <w:iCs/>
          <w:sz w:val="22"/>
          <w:szCs w:val="22"/>
        </w:rPr>
      </w:pPr>
      <w:r w:rsidRPr="00BC45AA">
        <w:rPr>
          <w:rFonts w:ascii="Cambria" w:eastAsia="Georgia" w:hAnsi="Cambria" w:cs="Georgia"/>
          <w:i/>
          <w:iCs/>
          <w:sz w:val="22"/>
          <w:szCs w:val="22"/>
        </w:rPr>
        <w:t xml:space="preserve">Figure 1. </w:t>
      </w:r>
      <w:r w:rsidR="0075382C" w:rsidRPr="0075382C">
        <w:rPr>
          <w:rFonts w:ascii="Cambria" w:eastAsia="Georgia" w:hAnsi="Cambria" w:cs="Georgia"/>
          <w:i/>
          <w:iCs/>
          <w:sz w:val="22"/>
          <w:szCs w:val="22"/>
        </w:rPr>
        <w:t>Integrative Conceptual Framework of AI Adoption and Consumer Purchase Decision in the Digital Economy</w:t>
      </w:r>
    </w:p>
    <w:p w14:paraId="75E96841" w14:textId="77777777" w:rsidR="00C25D8B" w:rsidRPr="009111F8" w:rsidRDefault="00C25D8B" w:rsidP="00C25D8B">
      <w:pPr>
        <w:ind w:firstLine="720"/>
        <w:jc w:val="both"/>
        <w:rPr>
          <w:rFonts w:ascii="Cambria" w:hAnsi="Cambria"/>
        </w:rPr>
      </w:pPr>
      <w:r>
        <w:rPr>
          <w:rFonts w:ascii="Cambria" w:hAnsi="Cambria"/>
        </w:rPr>
        <w:t>Figure 1 illustrates this conceptual framework, depicting the hypothesized direct effect (H1) of AI adoption on consumer purchase decision and the indirect, mediated effect (H2) operating through consumer trust and customer experience, with both pathways situated within, and conditioned by, the digital economy context.</w:t>
      </w:r>
    </w:p>
    <w:p w14:paraId="08FCFE54" w14:textId="6AB6858C" w:rsidR="00B96187" w:rsidRPr="00C25D8B" w:rsidRDefault="00C25D8B" w:rsidP="00C25D8B">
      <w:pPr>
        <w:spacing w:after="300"/>
        <w:ind w:firstLine="720"/>
        <w:jc w:val="both"/>
        <w:rPr>
          <w:rFonts w:ascii="Cambria" w:hAnsi="Cambria"/>
        </w:rPr>
      </w:pPr>
      <w:r>
        <w:rPr>
          <w:rFonts w:ascii="Cambria" w:hAnsi="Cambria"/>
        </w:rPr>
        <w:t>This literature-synthesis approach offers breadth and topicality by capturing the most recent (2023-2026) developments in a fast-moving research field, but it is inherently limited by its reliance on secondary findings rather than newly collected primary data; this limitation is addressed explicitly in the concluding section, which outlines directions for future empirical validation of the proposed model.</w:t>
      </w:r>
    </w:p>
    <w:p w14:paraId="2E73A9A3" w14:textId="470E41BE" w:rsidR="003B68F7" w:rsidRDefault="00460A81">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RESULTS AND DISCUSSION </w:t>
      </w:r>
    </w:p>
    <w:p w14:paraId="2122FFDB" w14:textId="77777777" w:rsidR="00BE34A8" w:rsidRDefault="00BE34A8" w:rsidP="00367114">
      <w:pPr>
        <w:pStyle w:val="Heading2"/>
        <w:spacing w:before="0" w:beforeAutospacing="0" w:after="0" w:afterAutospacing="0"/>
        <w:ind w:firstLine="630"/>
        <w:jc w:val="both"/>
        <w:rPr>
          <w:rFonts w:ascii="Cambria" w:hAnsi="Cambria"/>
          <w:i/>
          <w:iCs/>
          <w:sz w:val="24"/>
          <w:szCs w:val="24"/>
        </w:rPr>
      </w:pPr>
    </w:p>
    <w:p w14:paraId="65C89B61" w14:textId="0F469727" w:rsidR="0075382C" w:rsidRPr="009111F8" w:rsidRDefault="0075382C" w:rsidP="0075382C">
      <w:pPr>
        <w:jc w:val="both"/>
        <w:rPr>
          <w:rFonts w:ascii="Cambria" w:hAnsi="Cambria"/>
        </w:rPr>
      </w:pPr>
      <w:r>
        <w:rPr>
          <w:rFonts w:ascii="Cambria" w:hAnsi="Cambria"/>
        </w:rPr>
        <w:tab/>
      </w:r>
      <w:r w:rsidRPr="009111F8">
        <w:rPr>
          <w:rFonts w:ascii="Cambria" w:hAnsi="Cambria"/>
        </w:rPr>
        <w:t>The thematic synthesis of the 25 reviewed studies produced six recurring themes that jointly explain how AI adoption relates to consumer purchase decisions in the digital economy: (1) AI personalization and recommendation systems, (2) trust and customer experience as mediators, (3) chatbots and conversational commerce, (4) generational and cultural variance, (5) sector-specific evidence, and (6) risks and ethical concerns. Table 1 summarizes a representative subset of the reviewed studies before each theme is discussed in turn.</w:t>
      </w:r>
    </w:p>
    <w:p w14:paraId="5BFDC5A2" w14:textId="77777777" w:rsidR="0075382C" w:rsidRPr="009111F8" w:rsidRDefault="0075382C" w:rsidP="0075382C">
      <w:pPr>
        <w:spacing w:before="260"/>
        <w:rPr>
          <w:rFonts w:ascii="Cambria" w:hAnsi="Cambria"/>
        </w:rPr>
      </w:pPr>
      <w:r w:rsidRPr="009111F8">
        <w:rPr>
          <w:rFonts w:ascii="Cambria" w:hAnsi="Cambria"/>
          <w:b/>
          <w:bCs/>
          <w:i/>
          <w:iCs/>
        </w:rPr>
        <w:t>Table 1. Summary of Selected Reviewed Studies (n = 15 of 25 synthesized sources)</w:t>
      </w:r>
    </w:p>
    <w:tbl>
      <w:tblPr>
        <w:tblStyle w:val="TableGrid"/>
        <w:tblW w:w="5000" w:type="pct"/>
        <w:jc w:val="center"/>
        <w:tblLook w:val="0000" w:firstRow="0" w:lastRow="0" w:firstColumn="0" w:lastColumn="0" w:noHBand="0" w:noVBand="0"/>
      </w:tblPr>
      <w:tblGrid>
        <w:gridCol w:w="516"/>
        <w:gridCol w:w="1746"/>
        <w:gridCol w:w="2359"/>
        <w:gridCol w:w="1566"/>
        <w:gridCol w:w="2829"/>
      </w:tblGrid>
      <w:tr w:rsidR="0075382C" w:rsidRPr="009111F8" w14:paraId="38D59483" w14:textId="77777777" w:rsidTr="0075382C">
        <w:trPr>
          <w:jc w:val="center"/>
        </w:trPr>
        <w:tc>
          <w:tcPr>
            <w:tcW w:w="250" w:type="pct"/>
          </w:tcPr>
          <w:p w14:paraId="3193B92F" w14:textId="77777777" w:rsidR="0075382C" w:rsidRPr="009111F8" w:rsidRDefault="0075382C" w:rsidP="000C3975">
            <w:pPr>
              <w:jc w:val="center"/>
              <w:rPr>
                <w:rFonts w:ascii="Cambria" w:hAnsi="Cambria"/>
              </w:rPr>
            </w:pPr>
            <w:r w:rsidRPr="009111F8">
              <w:rPr>
                <w:rFonts w:ascii="Cambria" w:hAnsi="Cambria"/>
                <w:b/>
                <w:bCs/>
              </w:rPr>
              <w:t>No</w:t>
            </w:r>
          </w:p>
        </w:tc>
        <w:tc>
          <w:tcPr>
            <w:tcW w:w="1000" w:type="pct"/>
          </w:tcPr>
          <w:p w14:paraId="0B34180B" w14:textId="77777777" w:rsidR="0075382C" w:rsidRPr="009111F8" w:rsidRDefault="0075382C" w:rsidP="000C3975">
            <w:pPr>
              <w:rPr>
                <w:rFonts w:ascii="Cambria" w:hAnsi="Cambria"/>
              </w:rPr>
            </w:pPr>
            <w:r w:rsidRPr="009111F8">
              <w:rPr>
                <w:rFonts w:ascii="Cambria" w:hAnsi="Cambria"/>
                <w:b/>
                <w:bCs/>
              </w:rPr>
              <w:t>Author(s) &amp; Year</w:t>
            </w:r>
          </w:p>
        </w:tc>
        <w:tc>
          <w:tcPr>
            <w:tcW w:w="1250" w:type="pct"/>
          </w:tcPr>
          <w:p w14:paraId="688B1AE9" w14:textId="77777777" w:rsidR="0075382C" w:rsidRPr="009111F8" w:rsidRDefault="0075382C" w:rsidP="000C3975">
            <w:pPr>
              <w:rPr>
                <w:rFonts w:ascii="Cambria" w:hAnsi="Cambria"/>
              </w:rPr>
            </w:pPr>
            <w:r w:rsidRPr="009111F8">
              <w:rPr>
                <w:rFonts w:ascii="Cambria" w:hAnsi="Cambria"/>
                <w:b/>
                <w:bCs/>
              </w:rPr>
              <w:t>Focus / Context</w:t>
            </w:r>
          </w:p>
        </w:tc>
        <w:tc>
          <w:tcPr>
            <w:tcW w:w="900" w:type="pct"/>
          </w:tcPr>
          <w:p w14:paraId="3B945056" w14:textId="77777777" w:rsidR="0075382C" w:rsidRPr="009111F8" w:rsidRDefault="0075382C" w:rsidP="000C3975">
            <w:pPr>
              <w:rPr>
                <w:rFonts w:ascii="Cambria" w:hAnsi="Cambria"/>
              </w:rPr>
            </w:pPr>
            <w:r w:rsidRPr="009111F8">
              <w:rPr>
                <w:rFonts w:ascii="Cambria" w:hAnsi="Cambria"/>
                <w:b/>
                <w:bCs/>
              </w:rPr>
              <w:t>Method</w:t>
            </w:r>
          </w:p>
        </w:tc>
        <w:tc>
          <w:tcPr>
            <w:tcW w:w="1600" w:type="pct"/>
          </w:tcPr>
          <w:p w14:paraId="43DAB81A" w14:textId="77777777" w:rsidR="0075382C" w:rsidRPr="009111F8" w:rsidRDefault="0075382C" w:rsidP="000C3975">
            <w:pPr>
              <w:rPr>
                <w:rFonts w:ascii="Cambria" w:hAnsi="Cambria"/>
              </w:rPr>
            </w:pPr>
            <w:r w:rsidRPr="009111F8">
              <w:rPr>
                <w:rFonts w:ascii="Cambria" w:hAnsi="Cambria"/>
                <w:b/>
                <w:bCs/>
              </w:rPr>
              <w:t>Key Finding</w:t>
            </w:r>
          </w:p>
        </w:tc>
      </w:tr>
      <w:tr w:rsidR="0075382C" w:rsidRPr="009111F8" w14:paraId="41FCB0D4" w14:textId="77777777" w:rsidTr="0075382C">
        <w:trPr>
          <w:jc w:val="center"/>
        </w:trPr>
        <w:tc>
          <w:tcPr>
            <w:tcW w:w="250" w:type="pct"/>
          </w:tcPr>
          <w:p w14:paraId="74AF41F9" w14:textId="77777777" w:rsidR="0075382C" w:rsidRPr="009111F8" w:rsidRDefault="0075382C" w:rsidP="000C3975">
            <w:pPr>
              <w:jc w:val="center"/>
              <w:rPr>
                <w:rFonts w:ascii="Cambria" w:hAnsi="Cambria"/>
              </w:rPr>
            </w:pPr>
            <w:r w:rsidRPr="009111F8">
              <w:rPr>
                <w:rFonts w:ascii="Cambria" w:hAnsi="Cambria"/>
              </w:rPr>
              <w:t>1</w:t>
            </w:r>
          </w:p>
        </w:tc>
        <w:tc>
          <w:tcPr>
            <w:tcW w:w="1000" w:type="pct"/>
          </w:tcPr>
          <w:p w14:paraId="0282EC3D" w14:textId="77777777" w:rsidR="0075382C" w:rsidRPr="009111F8" w:rsidRDefault="0075382C" w:rsidP="000C3975">
            <w:pPr>
              <w:rPr>
                <w:rFonts w:ascii="Cambria" w:hAnsi="Cambria"/>
              </w:rPr>
            </w:pPr>
            <w:r w:rsidRPr="009111F8">
              <w:rPr>
                <w:rFonts w:ascii="Cambria" w:hAnsi="Cambria"/>
              </w:rPr>
              <w:t>Chowdhury et al. (2024)</w:t>
            </w:r>
          </w:p>
        </w:tc>
        <w:tc>
          <w:tcPr>
            <w:tcW w:w="1250" w:type="pct"/>
          </w:tcPr>
          <w:p w14:paraId="73ADA085" w14:textId="77777777" w:rsidR="0075382C" w:rsidRPr="009111F8" w:rsidRDefault="0075382C" w:rsidP="000C3975">
            <w:pPr>
              <w:rPr>
                <w:rFonts w:ascii="Cambria" w:hAnsi="Cambria"/>
              </w:rPr>
            </w:pPr>
            <w:r w:rsidRPr="009111F8">
              <w:rPr>
                <w:rFonts w:ascii="Cambria" w:hAnsi="Cambria"/>
              </w:rPr>
              <w:t>AI-driven digital marketing</w:t>
            </w:r>
          </w:p>
        </w:tc>
        <w:tc>
          <w:tcPr>
            <w:tcW w:w="900" w:type="pct"/>
          </w:tcPr>
          <w:p w14:paraId="66F40FA5" w14:textId="77777777" w:rsidR="0075382C" w:rsidRPr="009111F8" w:rsidRDefault="0075382C" w:rsidP="000C3975">
            <w:pPr>
              <w:rPr>
                <w:rFonts w:ascii="Cambria" w:hAnsi="Cambria"/>
              </w:rPr>
            </w:pPr>
            <w:r w:rsidRPr="009111F8">
              <w:rPr>
                <w:rFonts w:ascii="Cambria" w:hAnsi="Cambria"/>
              </w:rPr>
              <w:t>Survey / SEM</w:t>
            </w:r>
          </w:p>
        </w:tc>
        <w:tc>
          <w:tcPr>
            <w:tcW w:w="1600" w:type="pct"/>
          </w:tcPr>
          <w:p w14:paraId="3C090B20" w14:textId="77777777" w:rsidR="0075382C" w:rsidRPr="009111F8" w:rsidRDefault="0075382C" w:rsidP="000C3975">
            <w:pPr>
              <w:rPr>
                <w:rFonts w:ascii="Cambria" w:hAnsi="Cambria"/>
              </w:rPr>
            </w:pPr>
            <w:r w:rsidRPr="009111F8">
              <w:rPr>
                <w:rFonts w:ascii="Cambria" w:hAnsi="Cambria"/>
              </w:rPr>
              <w:t>AI-driven marketing significantly increases purchase intention via consumer engagement.</w:t>
            </w:r>
          </w:p>
        </w:tc>
      </w:tr>
      <w:tr w:rsidR="0075382C" w:rsidRPr="009111F8" w14:paraId="7D52A159" w14:textId="77777777" w:rsidTr="0075382C">
        <w:trPr>
          <w:jc w:val="center"/>
        </w:trPr>
        <w:tc>
          <w:tcPr>
            <w:tcW w:w="250" w:type="pct"/>
          </w:tcPr>
          <w:p w14:paraId="16188591" w14:textId="77777777" w:rsidR="0075382C" w:rsidRPr="009111F8" w:rsidRDefault="0075382C" w:rsidP="000C3975">
            <w:pPr>
              <w:jc w:val="center"/>
              <w:rPr>
                <w:rFonts w:ascii="Cambria" w:hAnsi="Cambria"/>
              </w:rPr>
            </w:pPr>
            <w:r w:rsidRPr="009111F8">
              <w:rPr>
                <w:rFonts w:ascii="Cambria" w:hAnsi="Cambria"/>
              </w:rPr>
              <w:t>2</w:t>
            </w:r>
          </w:p>
        </w:tc>
        <w:tc>
          <w:tcPr>
            <w:tcW w:w="1000" w:type="pct"/>
          </w:tcPr>
          <w:p w14:paraId="45C8C944" w14:textId="77777777" w:rsidR="0075382C" w:rsidRPr="009111F8" w:rsidRDefault="0075382C" w:rsidP="000C3975">
            <w:pPr>
              <w:rPr>
                <w:rFonts w:ascii="Cambria" w:hAnsi="Cambria"/>
              </w:rPr>
            </w:pPr>
            <w:r w:rsidRPr="009111F8">
              <w:rPr>
                <w:rFonts w:ascii="Cambria" w:hAnsi="Cambria"/>
              </w:rPr>
              <w:t>Dixit et al. (2025)</w:t>
            </w:r>
          </w:p>
        </w:tc>
        <w:tc>
          <w:tcPr>
            <w:tcW w:w="1250" w:type="pct"/>
          </w:tcPr>
          <w:p w14:paraId="42DE1B62" w14:textId="77777777" w:rsidR="0075382C" w:rsidRPr="009111F8" w:rsidRDefault="0075382C" w:rsidP="000C3975">
            <w:pPr>
              <w:rPr>
                <w:rFonts w:ascii="Cambria" w:hAnsi="Cambria"/>
              </w:rPr>
            </w:pPr>
            <w:r w:rsidRPr="009111F8">
              <w:rPr>
                <w:rFonts w:ascii="Cambria" w:hAnsi="Cambria"/>
              </w:rPr>
              <w:t>Online purchase decision (UTAUT2), India</w:t>
            </w:r>
          </w:p>
        </w:tc>
        <w:tc>
          <w:tcPr>
            <w:tcW w:w="900" w:type="pct"/>
          </w:tcPr>
          <w:p w14:paraId="5DCD44BC" w14:textId="77777777" w:rsidR="0075382C" w:rsidRPr="009111F8" w:rsidRDefault="0075382C" w:rsidP="000C3975">
            <w:pPr>
              <w:rPr>
                <w:rFonts w:ascii="Cambria" w:hAnsi="Cambria"/>
              </w:rPr>
            </w:pPr>
            <w:r w:rsidRPr="009111F8">
              <w:rPr>
                <w:rFonts w:ascii="Cambria" w:hAnsi="Cambria"/>
              </w:rPr>
              <w:t>Survey / PLS-SEM</w:t>
            </w:r>
          </w:p>
        </w:tc>
        <w:tc>
          <w:tcPr>
            <w:tcW w:w="1600" w:type="pct"/>
          </w:tcPr>
          <w:p w14:paraId="26D2BABD" w14:textId="77777777" w:rsidR="0075382C" w:rsidRPr="009111F8" w:rsidRDefault="0075382C" w:rsidP="000C3975">
            <w:pPr>
              <w:rPr>
                <w:rFonts w:ascii="Cambria" w:hAnsi="Cambria"/>
              </w:rPr>
            </w:pPr>
            <w:r w:rsidRPr="009111F8">
              <w:rPr>
                <w:rFonts w:ascii="Cambria" w:hAnsi="Cambria"/>
              </w:rPr>
              <w:t>Performance expectancy and AI trust are the strongest predictors of purchase decisions.</w:t>
            </w:r>
          </w:p>
        </w:tc>
      </w:tr>
      <w:tr w:rsidR="0075382C" w:rsidRPr="009111F8" w14:paraId="1C4B5DE7" w14:textId="77777777" w:rsidTr="0075382C">
        <w:trPr>
          <w:jc w:val="center"/>
        </w:trPr>
        <w:tc>
          <w:tcPr>
            <w:tcW w:w="250" w:type="pct"/>
          </w:tcPr>
          <w:p w14:paraId="6604D87A" w14:textId="77777777" w:rsidR="0075382C" w:rsidRPr="009111F8" w:rsidRDefault="0075382C" w:rsidP="000C3975">
            <w:pPr>
              <w:jc w:val="center"/>
              <w:rPr>
                <w:rFonts w:ascii="Cambria" w:hAnsi="Cambria"/>
              </w:rPr>
            </w:pPr>
            <w:r w:rsidRPr="009111F8">
              <w:rPr>
                <w:rFonts w:ascii="Cambria" w:hAnsi="Cambria"/>
              </w:rPr>
              <w:t>3</w:t>
            </w:r>
          </w:p>
        </w:tc>
        <w:tc>
          <w:tcPr>
            <w:tcW w:w="1000" w:type="pct"/>
          </w:tcPr>
          <w:p w14:paraId="62F1B7FB" w14:textId="77777777" w:rsidR="0075382C" w:rsidRPr="009111F8" w:rsidRDefault="0075382C" w:rsidP="000C3975">
            <w:pPr>
              <w:rPr>
                <w:rFonts w:ascii="Cambria" w:hAnsi="Cambria"/>
              </w:rPr>
            </w:pPr>
            <w:r w:rsidRPr="009111F8">
              <w:rPr>
                <w:rFonts w:ascii="Cambria" w:hAnsi="Cambria"/>
              </w:rPr>
              <w:t>Arum et al. (2026)</w:t>
            </w:r>
          </w:p>
        </w:tc>
        <w:tc>
          <w:tcPr>
            <w:tcW w:w="1250" w:type="pct"/>
          </w:tcPr>
          <w:p w14:paraId="6E2BF518" w14:textId="77777777" w:rsidR="0075382C" w:rsidRPr="009111F8" w:rsidRDefault="0075382C" w:rsidP="000C3975">
            <w:pPr>
              <w:rPr>
                <w:rFonts w:ascii="Cambria" w:hAnsi="Cambria"/>
              </w:rPr>
            </w:pPr>
            <w:r w:rsidRPr="009111F8">
              <w:rPr>
                <w:rFonts w:ascii="Cambria" w:hAnsi="Cambria"/>
              </w:rPr>
              <w:t>AI in e-commerce, Indonesia</w:t>
            </w:r>
          </w:p>
        </w:tc>
        <w:tc>
          <w:tcPr>
            <w:tcW w:w="900" w:type="pct"/>
          </w:tcPr>
          <w:p w14:paraId="27667C8D" w14:textId="77777777" w:rsidR="0075382C" w:rsidRPr="009111F8" w:rsidRDefault="0075382C" w:rsidP="000C3975">
            <w:pPr>
              <w:rPr>
                <w:rFonts w:ascii="Cambria" w:hAnsi="Cambria"/>
              </w:rPr>
            </w:pPr>
            <w:r w:rsidRPr="009111F8">
              <w:rPr>
                <w:rFonts w:ascii="Cambria" w:hAnsi="Cambria"/>
              </w:rPr>
              <w:t>Survey</w:t>
            </w:r>
          </w:p>
        </w:tc>
        <w:tc>
          <w:tcPr>
            <w:tcW w:w="1600" w:type="pct"/>
          </w:tcPr>
          <w:p w14:paraId="21C4F72E" w14:textId="77777777" w:rsidR="0075382C" w:rsidRPr="009111F8" w:rsidRDefault="0075382C" w:rsidP="000C3975">
            <w:pPr>
              <w:rPr>
                <w:rFonts w:ascii="Cambria" w:hAnsi="Cambria"/>
              </w:rPr>
            </w:pPr>
            <w:r w:rsidRPr="009111F8">
              <w:rPr>
                <w:rFonts w:ascii="Cambria" w:hAnsi="Cambria"/>
              </w:rPr>
              <w:t>Personalized recommendations and AI-driven service significantly shape purchase decisions.</w:t>
            </w:r>
          </w:p>
        </w:tc>
      </w:tr>
      <w:tr w:rsidR="0075382C" w:rsidRPr="009111F8" w14:paraId="5B4C7E05" w14:textId="77777777" w:rsidTr="0075382C">
        <w:trPr>
          <w:jc w:val="center"/>
        </w:trPr>
        <w:tc>
          <w:tcPr>
            <w:tcW w:w="250" w:type="pct"/>
          </w:tcPr>
          <w:p w14:paraId="125E379E" w14:textId="77777777" w:rsidR="0075382C" w:rsidRPr="009111F8" w:rsidRDefault="0075382C" w:rsidP="000C3975">
            <w:pPr>
              <w:jc w:val="center"/>
              <w:rPr>
                <w:rFonts w:ascii="Cambria" w:hAnsi="Cambria"/>
              </w:rPr>
            </w:pPr>
            <w:r w:rsidRPr="009111F8">
              <w:rPr>
                <w:rFonts w:ascii="Cambria" w:hAnsi="Cambria"/>
              </w:rPr>
              <w:t>4</w:t>
            </w:r>
          </w:p>
        </w:tc>
        <w:tc>
          <w:tcPr>
            <w:tcW w:w="1000" w:type="pct"/>
          </w:tcPr>
          <w:p w14:paraId="438873ED" w14:textId="77777777" w:rsidR="0075382C" w:rsidRPr="009111F8" w:rsidRDefault="0075382C" w:rsidP="000C3975">
            <w:pPr>
              <w:rPr>
                <w:rFonts w:ascii="Cambria" w:hAnsi="Cambria"/>
              </w:rPr>
            </w:pPr>
            <w:r w:rsidRPr="009111F8">
              <w:rPr>
                <w:rFonts w:ascii="Cambria" w:hAnsi="Cambria"/>
              </w:rPr>
              <w:t>Alsaffarini &amp; Awwad (2026)</w:t>
            </w:r>
          </w:p>
        </w:tc>
        <w:tc>
          <w:tcPr>
            <w:tcW w:w="1250" w:type="pct"/>
          </w:tcPr>
          <w:p w14:paraId="64D42888" w14:textId="77777777" w:rsidR="0075382C" w:rsidRPr="009111F8" w:rsidRDefault="0075382C" w:rsidP="000C3975">
            <w:pPr>
              <w:rPr>
                <w:rFonts w:ascii="Cambria" w:hAnsi="Cambria"/>
              </w:rPr>
            </w:pPr>
            <w:r w:rsidRPr="009111F8">
              <w:rPr>
                <w:rFonts w:ascii="Cambria" w:hAnsi="Cambria"/>
              </w:rPr>
              <w:t>Sustainable marketing personalization</w:t>
            </w:r>
          </w:p>
        </w:tc>
        <w:tc>
          <w:tcPr>
            <w:tcW w:w="900" w:type="pct"/>
          </w:tcPr>
          <w:p w14:paraId="3A23D6A7" w14:textId="77777777" w:rsidR="0075382C" w:rsidRPr="009111F8" w:rsidRDefault="0075382C" w:rsidP="000C3975">
            <w:pPr>
              <w:rPr>
                <w:rFonts w:ascii="Cambria" w:hAnsi="Cambria"/>
              </w:rPr>
            </w:pPr>
            <w:r w:rsidRPr="009111F8">
              <w:rPr>
                <w:rFonts w:ascii="Cambria" w:hAnsi="Cambria"/>
              </w:rPr>
              <w:t>Survey (Jordan)</w:t>
            </w:r>
          </w:p>
        </w:tc>
        <w:tc>
          <w:tcPr>
            <w:tcW w:w="1600" w:type="pct"/>
          </w:tcPr>
          <w:p w14:paraId="0BEE9811" w14:textId="77777777" w:rsidR="0075382C" w:rsidRPr="009111F8" w:rsidRDefault="0075382C" w:rsidP="000C3975">
            <w:pPr>
              <w:rPr>
                <w:rFonts w:ascii="Cambria" w:hAnsi="Cambria"/>
              </w:rPr>
            </w:pPr>
            <w:r w:rsidRPr="009111F8">
              <w:rPr>
                <w:rFonts w:ascii="Cambria" w:hAnsi="Cambria"/>
              </w:rPr>
              <w:t>AI personalization raises purchase decisions even under sustainability messaging.</w:t>
            </w:r>
          </w:p>
        </w:tc>
      </w:tr>
      <w:tr w:rsidR="0075382C" w:rsidRPr="009111F8" w14:paraId="532934AF" w14:textId="77777777" w:rsidTr="0075382C">
        <w:trPr>
          <w:jc w:val="center"/>
        </w:trPr>
        <w:tc>
          <w:tcPr>
            <w:tcW w:w="250" w:type="pct"/>
          </w:tcPr>
          <w:p w14:paraId="208B6859" w14:textId="77777777" w:rsidR="0075382C" w:rsidRPr="009111F8" w:rsidRDefault="0075382C" w:rsidP="000C3975">
            <w:pPr>
              <w:jc w:val="center"/>
              <w:rPr>
                <w:rFonts w:ascii="Cambria" w:hAnsi="Cambria"/>
              </w:rPr>
            </w:pPr>
            <w:r w:rsidRPr="009111F8">
              <w:rPr>
                <w:rFonts w:ascii="Cambria" w:hAnsi="Cambria"/>
              </w:rPr>
              <w:t>5</w:t>
            </w:r>
          </w:p>
        </w:tc>
        <w:tc>
          <w:tcPr>
            <w:tcW w:w="1000" w:type="pct"/>
          </w:tcPr>
          <w:p w14:paraId="1F2EF2B4" w14:textId="77777777" w:rsidR="0075382C" w:rsidRPr="009111F8" w:rsidRDefault="0075382C" w:rsidP="000C3975">
            <w:pPr>
              <w:rPr>
                <w:rFonts w:ascii="Cambria" w:hAnsi="Cambria"/>
              </w:rPr>
            </w:pPr>
            <w:r w:rsidRPr="009111F8">
              <w:rPr>
                <w:rFonts w:ascii="Cambria" w:hAnsi="Cambria"/>
              </w:rPr>
              <w:t>Mousa et al. (2026)</w:t>
            </w:r>
          </w:p>
        </w:tc>
        <w:tc>
          <w:tcPr>
            <w:tcW w:w="1250" w:type="pct"/>
          </w:tcPr>
          <w:p w14:paraId="6721AB18" w14:textId="77777777" w:rsidR="0075382C" w:rsidRPr="009111F8" w:rsidRDefault="0075382C" w:rsidP="000C3975">
            <w:pPr>
              <w:rPr>
                <w:rFonts w:ascii="Cambria" w:hAnsi="Cambria"/>
              </w:rPr>
            </w:pPr>
            <w:r w:rsidRPr="009111F8">
              <w:rPr>
                <w:rFonts w:ascii="Cambria" w:hAnsi="Cambria"/>
              </w:rPr>
              <w:t>Telecommunications AI marketing</w:t>
            </w:r>
          </w:p>
        </w:tc>
        <w:tc>
          <w:tcPr>
            <w:tcW w:w="900" w:type="pct"/>
          </w:tcPr>
          <w:p w14:paraId="11ADB168" w14:textId="77777777" w:rsidR="0075382C" w:rsidRPr="009111F8" w:rsidRDefault="0075382C" w:rsidP="000C3975">
            <w:pPr>
              <w:rPr>
                <w:rFonts w:ascii="Cambria" w:hAnsi="Cambria"/>
              </w:rPr>
            </w:pPr>
            <w:r w:rsidRPr="009111F8">
              <w:rPr>
                <w:rFonts w:ascii="Cambria" w:hAnsi="Cambria"/>
              </w:rPr>
              <w:t>Survey / SEM</w:t>
            </w:r>
          </w:p>
        </w:tc>
        <w:tc>
          <w:tcPr>
            <w:tcW w:w="1600" w:type="pct"/>
          </w:tcPr>
          <w:p w14:paraId="4F7B95A8" w14:textId="77777777" w:rsidR="0075382C" w:rsidRPr="009111F8" w:rsidRDefault="0075382C" w:rsidP="000C3975">
            <w:pPr>
              <w:rPr>
                <w:rFonts w:ascii="Cambria" w:hAnsi="Cambria"/>
              </w:rPr>
            </w:pPr>
            <w:r w:rsidRPr="009111F8">
              <w:rPr>
                <w:rFonts w:ascii="Cambria" w:hAnsi="Cambria"/>
              </w:rPr>
              <w:t>Virtual customer experience moderates the AI marketing–purchase decision link.</w:t>
            </w:r>
          </w:p>
        </w:tc>
      </w:tr>
      <w:tr w:rsidR="0075382C" w:rsidRPr="009111F8" w14:paraId="5CF4776F" w14:textId="77777777" w:rsidTr="0075382C">
        <w:trPr>
          <w:jc w:val="center"/>
        </w:trPr>
        <w:tc>
          <w:tcPr>
            <w:tcW w:w="250" w:type="pct"/>
          </w:tcPr>
          <w:p w14:paraId="6ED6F191" w14:textId="77777777" w:rsidR="0075382C" w:rsidRPr="009111F8" w:rsidRDefault="0075382C" w:rsidP="000C3975">
            <w:pPr>
              <w:jc w:val="center"/>
              <w:rPr>
                <w:rFonts w:ascii="Cambria" w:hAnsi="Cambria"/>
              </w:rPr>
            </w:pPr>
            <w:r w:rsidRPr="009111F8">
              <w:rPr>
                <w:rFonts w:ascii="Cambria" w:hAnsi="Cambria"/>
              </w:rPr>
              <w:t>6</w:t>
            </w:r>
          </w:p>
        </w:tc>
        <w:tc>
          <w:tcPr>
            <w:tcW w:w="1000" w:type="pct"/>
          </w:tcPr>
          <w:p w14:paraId="46FE3944" w14:textId="77777777" w:rsidR="0075382C" w:rsidRPr="009111F8" w:rsidRDefault="0075382C" w:rsidP="000C3975">
            <w:pPr>
              <w:rPr>
                <w:rFonts w:ascii="Cambria" w:hAnsi="Cambria"/>
              </w:rPr>
            </w:pPr>
            <w:r w:rsidRPr="009111F8">
              <w:rPr>
                <w:rFonts w:ascii="Cambria" w:hAnsi="Cambria"/>
              </w:rPr>
              <w:t>Cuesta-Valiño et al. (2025)</w:t>
            </w:r>
          </w:p>
        </w:tc>
        <w:tc>
          <w:tcPr>
            <w:tcW w:w="1250" w:type="pct"/>
          </w:tcPr>
          <w:p w14:paraId="21E7CDA1" w14:textId="77777777" w:rsidR="0075382C" w:rsidRPr="009111F8" w:rsidRDefault="0075382C" w:rsidP="000C3975">
            <w:pPr>
              <w:rPr>
                <w:rFonts w:ascii="Cambria" w:hAnsi="Cambria"/>
              </w:rPr>
            </w:pPr>
            <w:r w:rsidRPr="009111F8">
              <w:rPr>
                <w:rFonts w:ascii="Cambria" w:hAnsi="Cambria"/>
              </w:rPr>
              <w:t>AI as an unconventional salesperson, Spain (n=1,471)</w:t>
            </w:r>
          </w:p>
        </w:tc>
        <w:tc>
          <w:tcPr>
            <w:tcW w:w="900" w:type="pct"/>
          </w:tcPr>
          <w:p w14:paraId="54C870DB" w14:textId="77777777" w:rsidR="0075382C" w:rsidRPr="009111F8" w:rsidRDefault="0075382C" w:rsidP="000C3975">
            <w:pPr>
              <w:rPr>
                <w:rFonts w:ascii="Cambria" w:hAnsi="Cambria"/>
              </w:rPr>
            </w:pPr>
            <w:r w:rsidRPr="009111F8">
              <w:rPr>
                <w:rFonts w:ascii="Cambria" w:hAnsi="Cambria"/>
              </w:rPr>
              <w:t>Survey / PLS-SEM</w:t>
            </w:r>
          </w:p>
        </w:tc>
        <w:tc>
          <w:tcPr>
            <w:tcW w:w="1600" w:type="pct"/>
          </w:tcPr>
          <w:p w14:paraId="289E5375" w14:textId="77777777" w:rsidR="0075382C" w:rsidRPr="009111F8" w:rsidRDefault="0075382C" w:rsidP="000C3975">
            <w:pPr>
              <w:rPr>
                <w:rFonts w:ascii="Cambria" w:hAnsi="Cambria"/>
              </w:rPr>
            </w:pPr>
            <w:r w:rsidRPr="009111F8">
              <w:rPr>
                <w:rFonts w:ascii="Cambria" w:hAnsi="Cambria"/>
              </w:rPr>
              <w:t>Trust, credibility and versatility drive AI adoption, boosting satisfaction and happiness.</w:t>
            </w:r>
          </w:p>
        </w:tc>
      </w:tr>
      <w:tr w:rsidR="0075382C" w:rsidRPr="009111F8" w14:paraId="01A48CEE" w14:textId="77777777" w:rsidTr="0075382C">
        <w:trPr>
          <w:jc w:val="center"/>
        </w:trPr>
        <w:tc>
          <w:tcPr>
            <w:tcW w:w="250" w:type="pct"/>
          </w:tcPr>
          <w:p w14:paraId="2996C58D" w14:textId="77777777" w:rsidR="0075382C" w:rsidRPr="009111F8" w:rsidRDefault="0075382C" w:rsidP="000C3975">
            <w:pPr>
              <w:jc w:val="center"/>
              <w:rPr>
                <w:rFonts w:ascii="Cambria" w:hAnsi="Cambria"/>
              </w:rPr>
            </w:pPr>
            <w:r w:rsidRPr="009111F8">
              <w:rPr>
                <w:rFonts w:ascii="Cambria" w:hAnsi="Cambria"/>
              </w:rPr>
              <w:t>7</w:t>
            </w:r>
          </w:p>
        </w:tc>
        <w:tc>
          <w:tcPr>
            <w:tcW w:w="1000" w:type="pct"/>
          </w:tcPr>
          <w:p w14:paraId="18257F1A" w14:textId="77777777" w:rsidR="0075382C" w:rsidRPr="009111F8" w:rsidRDefault="0075382C" w:rsidP="000C3975">
            <w:pPr>
              <w:rPr>
                <w:rFonts w:ascii="Cambria" w:hAnsi="Cambria"/>
              </w:rPr>
            </w:pPr>
            <w:r w:rsidRPr="009111F8">
              <w:rPr>
                <w:rFonts w:ascii="Cambria" w:hAnsi="Cambria"/>
              </w:rPr>
              <w:t>Liu et al. (2025)</w:t>
            </w:r>
          </w:p>
        </w:tc>
        <w:tc>
          <w:tcPr>
            <w:tcW w:w="1250" w:type="pct"/>
          </w:tcPr>
          <w:p w14:paraId="7189C9DB" w14:textId="77777777" w:rsidR="0075382C" w:rsidRPr="009111F8" w:rsidRDefault="0075382C" w:rsidP="000C3975">
            <w:pPr>
              <w:rPr>
                <w:rFonts w:ascii="Cambria" w:hAnsi="Cambria"/>
              </w:rPr>
            </w:pPr>
            <w:r w:rsidRPr="009111F8">
              <w:rPr>
                <w:rFonts w:ascii="Cambria" w:hAnsi="Cambria"/>
              </w:rPr>
              <w:t>AI-generated sponsored vlogs</w:t>
            </w:r>
          </w:p>
        </w:tc>
        <w:tc>
          <w:tcPr>
            <w:tcW w:w="900" w:type="pct"/>
          </w:tcPr>
          <w:p w14:paraId="4E11C65A" w14:textId="77777777" w:rsidR="0075382C" w:rsidRPr="009111F8" w:rsidRDefault="0075382C" w:rsidP="000C3975">
            <w:pPr>
              <w:rPr>
                <w:rFonts w:ascii="Cambria" w:hAnsi="Cambria"/>
              </w:rPr>
            </w:pPr>
            <w:r w:rsidRPr="009111F8">
              <w:rPr>
                <w:rFonts w:ascii="Cambria" w:hAnsi="Cambria"/>
              </w:rPr>
              <w:t>Survey</w:t>
            </w:r>
          </w:p>
        </w:tc>
        <w:tc>
          <w:tcPr>
            <w:tcW w:w="1600" w:type="pct"/>
          </w:tcPr>
          <w:p w14:paraId="1AF344D6" w14:textId="77777777" w:rsidR="0075382C" w:rsidRPr="009111F8" w:rsidRDefault="0075382C" w:rsidP="000C3975">
            <w:pPr>
              <w:rPr>
                <w:rFonts w:ascii="Cambria" w:hAnsi="Cambria"/>
              </w:rPr>
            </w:pPr>
            <w:r w:rsidRPr="009111F8">
              <w:rPr>
                <w:rFonts w:ascii="Cambria" w:hAnsi="Cambria"/>
              </w:rPr>
              <w:t>AI literacy shapes consumer trust in, and response to, AI-generated sponsored content.</w:t>
            </w:r>
          </w:p>
        </w:tc>
      </w:tr>
      <w:tr w:rsidR="0075382C" w:rsidRPr="009111F8" w14:paraId="752F137A" w14:textId="77777777" w:rsidTr="0075382C">
        <w:trPr>
          <w:jc w:val="center"/>
        </w:trPr>
        <w:tc>
          <w:tcPr>
            <w:tcW w:w="250" w:type="pct"/>
          </w:tcPr>
          <w:p w14:paraId="20BF2901" w14:textId="77777777" w:rsidR="0075382C" w:rsidRPr="009111F8" w:rsidRDefault="0075382C" w:rsidP="000C3975">
            <w:pPr>
              <w:jc w:val="center"/>
              <w:rPr>
                <w:rFonts w:ascii="Cambria" w:hAnsi="Cambria"/>
              </w:rPr>
            </w:pPr>
            <w:r w:rsidRPr="009111F8">
              <w:rPr>
                <w:rFonts w:ascii="Cambria" w:hAnsi="Cambria"/>
              </w:rPr>
              <w:t>8</w:t>
            </w:r>
          </w:p>
        </w:tc>
        <w:tc>
          <w:tcPr>
            <w:tcW w:w="1000" w:type="pct"/>
          </w:tcPr>
          <w:p w14:paraId="6094DB16" w14:textId="77777777" w:rsidR="0075382C" w:rsidRPr="009111F8" w:rsidRDefault="0075382C" w:rsidP="000C3975">
            <w:pPr>
              <w:rPr>
                <w:rFonts w:ascii="Cambria" w:hAnsi="Cambria"/>
              </w:rPr>
            </w:pPr>
            <w:r w:rsidRPr="009111F8">
              <w:rPr>
                <w:rFonts w:ascii="Cambria" w:hAnsi="Cambria"/>
              </w:rPr>
              <w:t>Mei et al. (2025)</w:t>
            </w:r>
          </w:p>
        </w:tc>
        <w:tc>
          <w:tcPr>
            <w:tcW w:w="1250" w:type="pct"/>
          </w:tcPr>
          <w:p w14:paraId="49A5CA86" w14:textId="77777777" w:rsidR="0075382C" w:rsidRPr="009111F8" w:rsidRDefault="0075382C" w:rsidP="000C3975">
            <w:pPr>
              <w:rPr>
                <w:rFonts w:ascii="Cambria" w:hAnsi="Cambria"/>
              </w:rPr>
            </w:pPr>
            <w:r w:rsidRPr="009111F8">
              <w:rPr>
                <w:rFonts w:ascii="Cambria" w:hAnsi="Cambria"/>
              </w:rPr>
              <w:t>Live-streaming e-commerce</w:t>
            </w:r>
          </w:p>
        </w:tc>
        <w:tc>
          <w:tcPr>
            <w:tcW w:w="900" w:type="pct"/>
          </w:tcPr>
          <w:p w14:paraId="78574BA5" w14:textId="77777777" w:rsidR="0075382C" w:rsidRPr="009111F8" w:rsidRDefault="0075382C" w:rsidP="000C3975">
            <w:pPr>
              <w:rPr>
                <w:rFonts w:ascii="Cambria" w:hAnsi="Cambria"/>
              </w:rPr>
            </w:pPr>
            <w:r w:rsidRPr="009111F8">
              <w:rPr>
                <w:rFonts w:ascii="Cambria" w:hAnsi="Cambria"/>
              </w:rPr>
              <w:t>Survey / structural model</w:t>
            </w:r>
          </w:p>
        </w:tc>
        <w:tc>
          <w:tcPr>
            <w:tcW w:w="1600" w:type="pct"/>
          </w:tcPr>
          <w:p w14:paraId="47FDF865" w14:textId="77777777" w:rsidR="0075382C" w:rsidRPr="009111F8" w:rsidRDefault="0075382C" w:rsidP="000C3975">
            <w:pPr>
              <w:rPr>
                <w:rFonts w:ascii="Cambria" w:hAnsi="Cambria"/>
              </w:rPr>
            </w:pPr>
            <w:r w:rsidRPr="009111F8">
              <w:rPr>
                <w:rFonts w:ascii="Cambria" w:hAnsi="Cambria"/>
              </w:rPr>
              <w:t>AI-curated live content drives both impulsive and planned purchase decisions.</w:t>
            </w:r>
          </w:p>
        </w:tc>
      </w:tr>
      <w:tr w:rsidR="0075382C" w:rsidRPr="009111F8" w14:paraId="2DA0075E" w14:textId="77777777" w:rsidTr="0075382C">
        <w:trPr>
          <w:jc w:val="center"/>
        </w:trPr>
        <w:tc>
          <w:tcPr>
            <w:tcW w:w="250" w:type="pct"/>
          </w:tcPr>
          <w:p w14:paraId="2A0B38E4" w14:textId="77777777" w:rsidR="0075382C" w:rsidRPr="009111F8" w:rsidRDefault="0075382C" w:rsidP="000C3975">
            <w:pPr>
              <w:jc w:val="center"/>
              <w:rPr>
                <w:rFonts w:ascii="Cambria" w:hAnsi="Cambria"/>
              </w:rPr>
            </w:pPr>
            <w:r w:rsidRPr="009111F8">
              <w:rPr>
                <w:rFonts w:ascii="Cambria" w:hAnsi="Cambria"/>
              </w:rPr>
              <w:t>9</w:t>
            </w:r>
          </w:p>
        </w:tc>
        <w:tc>
          <w:tcPr>
            <w:tcW w:w="1000" w:type="pct"/>
          </w:tcPr>
          <w:p w14:paraId="0B924930" w14:textId="77777777" w:rsidR="0075382C" w:rsidRPr="009111F8" w:rsidRDefault="0075382C" w:rsidP="000C3975">
            <w:pPr>
              <w:rPr>
                <w:rFonts w:ascii="Cambria" w:hAnsi="Cambria"/>
              </w:rPr>
            </w:pPr>
            <w:r w:rsidRPr="009111F8">
              <w:rPr>
                <w:rFonts w:ascii="Cambria" w:hAnsi="Cambria"/>
              </w:rPr>
              <w:t>Pradhanawati &amp; Pinem (2025)</w:t>
            </w:r>
          </w:p>
        </w:tc>
        <w:tc>
          <w:tcPr>
            <w:tcW w:w="1250" w:type="pct"/>
          </w:tcPr>
          <w:p w14:paraId="060E7F6C" w14:textId="77777777" w:rsidR="0075382C" w:rsidRPr="009111F8" w:rsidRDefault="0075382C" w:rsidP="000C3975">
            <w:pPr>
              <w:rPr>
                <w:rFonts w:ascii="Cambria" w:hAnsi="Cambria"/>
              </w:rPr>
            </w:pPr>
            <w:r w:rsidRPr="009111F8">
              <w:rPr>
                <w:rFonts w:ascii="Cambria" w:hAnsi="Cambria"/>
              </w:rPr>
              <w:t>Generation Z, emerging country</w:t>
            </w:r>
          </w:p>
        </w:tc>
        <w:tc>
          <w:tcPr>
            <w:tcW w:w="900" w:type="pct"/>
          </w:tcPr>
          <w:p w14:paraId="753B028F" w14:textId="77777777" w:rsidR="0075382C" w:rsidRPr="009111F8" w:rsidRDefault="0075382C" w:rsidP="000C3975">
            <w:pPr>
              <w:rPr>
                <w:rFonts w:ascii="Cambria" w:hAnsi="Cambria"/>
              </w:rPr>
            </w:pPr>
            <w:r w:rsidRPr="009111F8">
              <w:rPr>
                <w:rFonts w:ascii="Cambria" w:hAnsi="Cambria"/>
              </w:rPr>
              <w:t>Survey</w:t>
            </w:r>
          </w:p>
        </w:tc>
        <w:tc>
          <w:tcPr>
            <w:tcW w:w="1600" w:type="pct"/>
          </w:tcPr>
          <w:p w14:paraId="73DE2E38" w14:textId="77777777" w:rsidR="0075382C" w:rsidRPr="009111F8" w:rsidRDefault="0075382C" w:rsidP="000C3975">
            <w:pPr>
              <w:rPr>
                <w:rFonts w:ascii="Cambria" w:hAnsi="Cambria"/>
              </w:rPr>
            </w:pPr>
            <w:r w:rsidRPr="009111F8">
              <w:rPr>
                <w:rFonts w:ascii="Cambria" w:hAnsi="Cambria"/>
              </w:rPr>
              <w:t>Gen Z purchase decisions are strongly shaped by AI convenience; privacy concerns moderate.</w:t>
            </w:r>
          </w:p>
        </w:tc>
      </w:tr>
      <w:tr w:rsidR="0075382C" w:rsidRPr="009111F8" w14:paraId="4B021BB0" w14:textId="77777777" w:rsidTr="0075382C">
        <w:trPr>
          <w:jc w:val="center"/>
        </w:trPr>
        <w:tc>
          <w:tcPr>
            <w:tcW w:w="250" w:type="pct"/>
          </w:tcPr>
          <w:p w14:paraId="6F475FB6" w14:textId="77777777" w:rsidR="0075382C" w:rsidRPr="009111F8" w:rsidRDefault="0075382C" w:rsidP="000C3975">
            <w:pPr>
              <w:jc w:val="center"/>
              <w:rPr>
                <w:rFonts w:ascii="Cambria" w:hAnsi="Cambria"/>
              </w:rPr>
            </w:pPr>
            <w:r w:rsidRPr="009111F8">
              <w:rPr>
                <w:rFonts w:ascii="Cambria" w:hAnsi="Cambria"/>
              </w:rPr>
              <w:t>10</w:t>
            </w:r>
          </w:p>
        </w:tc>
        <w:tc>
          <w:tcPr>
            <w:tcW w:w="1000" w:type="pct"/>
          </w:tcPr>
          <w:p w14:paraId="202FBCA9" w14:textId="77777777" w:rsidR="0075382C" w:rsidRPr="009111F8" w:rsidRDefault="0075382C" w:rsidP="000C3975">
            <w:pPr>
              <w:rPr>
                <w:rFonts w:ascii="Cambria" w:hAnsi="Cambria"/>
              </w:rPr>
            </w:pPr>
            <w:r w:rsidRPr="009111F8">
              <w:rPr>
                <w:rFonts w:ascii="Cambria" w:hAnsi="Cambria"/>
              </w:rPr>
              <w:t>Shiddieqy &amp; Widarmanti (2025)</w:t>
            </w:r>
          </w:p>
        </w:tc>
        <w:tc>
          <w:tcPr>
            <w:tcW w:w="1250" w:type="pct"/>
          </w:tcPr>
          <w:p w14:paraId="62655677" w14:textId="77777777" w:rsidR="0075382C" w:rsidRPr="009111F8" w:rsidRDefault="0075382C" w:rsidP="000C3975">
            <w:pPr>
              <w:rPr>
                <w:rFonts w:ascii="Cambria" w:hAnsi="Cambria"/>
              </w:rPr>
            </w:pPr>
            <w:r w:rsidRPr="009111F8">
              <w:rPr>
                <w:rFonts w:ascii="Cambria" w:hAnsi="Cambria"/>
              </w:rPr>
              <w:t>Generation Z digital marketing</w:t>
            </w:r>
          </w:p>
        </w:tc>
        <w:tc>
          <w:tcPr>
            <w:tcW w:w="900" w:type="pct"/>
          </w:tcPr>
          <w:p w14:paraId="64B30079" w14:textId="77777777" w:rsidR="0075382C" w:rsidRPr="009111F8" w:rsidRDefault="0075382C" w:rsidP="000C3975">
            <w:pPr>
              <w:rPr>
                <w:rFonts w:ascii="Cambria" w:hAnsi="Cambria"/>
              </w:rPr>
            </w:pPr>
            <w:r w:rsidRPr="009111F8">
              <w:rPr>
                <w:rFonts w:ascii="Cambria" w:hAnsi="Cambria"/>
              </w:rPr>
              <w:t>Survey</w:t>
            </w:r>
          </w:p>
        </w:tc>
        <w:tc>
          <w:tcPr>
            <w:tcW w:w="1600" w:type="pct"/>
          </w:tcPr>
          <w:p w14:paraId="42261BB7" w14:textId="77777777" w:rsidR="0075382C" w:rsidRPr="009111F8" w:rsidRDefault="0075382C" w:rsidP="000C3975">
            <w:pPr>
              <w:rPr>
                <w:rFonts w:ascii="Cambria" w:hAnsi="Cambria"/>
              </w:rPr>
            </w:pPr>
            <w:r w:rsidRPr="009111F8">
              <w:rPr>
                <w:rFonts w:ascii="Cambria" w:hAnsi="Cambria"/>
              </w:rPr>
              <w:t>AI-personalized digital marketing significantly affects Gen Z decision-making.</w:t>
            </w:r>
          </w:p>
        </w:tc>
      </w:tr>
      <w:tr w:rsidR="0075382C" w:rsidRPr="009111F8" w14:paraId="79D78A61" w14:textId="77777777" w:rsidTr="0075382C">
        <w:trPr>
          <w:jc w:val="center"/>
        </w:trPr>
        <w:tc>
          <w:tcPr>
            <w:tcW w:w="250" w:type="pct"/>
          </w:tcPr>
          <w:p w14:paraId="2AED1178" w14:textId="77777777" w:rsidR="0075382C" w:rsidRPr="009111F8" w:rsidRDefault="0075382C" w:rsidP="000C3975">
            <w:pPr>
              <w:jc w:val="center"/>
              <w:rPr>
                <w:rFonts w:ascii="Cambria" w:hAnsi="Cambria"/>
              </w:rPr>
            </w:pPr>
            <w:r w:rsidRPr="009111F8">
              <w:rPr>
                <w:rFonts w:ascii="Cambria" w:hAnsi="Cambria"/>
              </w:rPr>
              <w:t>11</w:t>
            </w:r>
          </w:p>
        </w:tc>
        <w:tc>
          <w:tcPr>
            <w:tcW w:w="1000" w:type="pct"/>
          </w:tcPr>
          <w:p w14:paraId="63C3FCF6" w14:textId="77777777" w:rsidR="0075382C" w:rsidRPr="009111F8" w:rsidRDefault="0075382C" w:rsidP="000C3975">
            <w:pPr>
              <w:rPr>
                <w:rFonts w:ascii="Cambria" w:hAnsi="Cambria"/>
              </w:rPr>
            </w:pPr>
            <w:r w:rsidRPr="009111F8">
              <w:rPr>
                <w:rFonts w:ascii="Cambria" w:hAnsi="Cambria"/>
              </w:rPr>
              <w:t>Dora &amp; Saefudin (2025)</w:t>
            </w:r>
          </w:p>
        </w:tc>
        <w:tc>
          <w:tcPr>
            <w:tcW w:w="1250" w:type="pct"/>
          </w:tcPr>
          <w:p w14:paraId="70CC576F" w14:textId="77777777" w:rsidR="0075382C" w:rsidRPr="009111F8" w:rsidRDefault="0075382C" w:rsidP="000C3975">
            <w:pPr>
              <w:rPr>
                <w:rFonts w:ascii="Cambria" w:hAnsi="Cambria"/>
              </w:rPr>
            </w:pPr>
            <w:r w:rsidRPr="009111F8">
              <w:rPr>
                <w:rFonts w:ascii="Cambria" w:hAnsi="Cambria"/>
              </w:rPr>
              <w:t>AI utilization on purchase decisions</w:t>
            </w:r>
          </w:p>
        </w:tc>
        <w:tc>
          <w:tcPr>
            <w:tcW w:w="900" w:type="pct"/>
          </w:tcPr>
          <w:p w14:paraId="6A433701" w14:textId="77777777" w:rsidR="0075382C" w:rsidRPr="009111F8" w:rsidRDefault="0075382C" w:rsidP="000C3975">
            <w:pPr>
              <w:rPr>
                <w:rFonts w:ascii="Cambria" w:hAnsi="Cambria"/>
              </w:rPr>
            </w:pPr>
            <w:r w:rsidRPr="009111F8">
              <w:rPr>
                <w:rFonts w:ascii="Cambria" w:hAnsi="Cambria"/>
              </w:rPr>
              <w:t>Survey</w:t>
            </w:r>
          </w:p>
        </w:tc>
        <w:tc>
          <w:tcPr>
            <w:tcW w:w="1600" w:type="pct"/>
          </w:tcPr>
          <w:p w14:paraId="2FA220F8" w14:textId="77777777" w:rsidR="0075382C" w:rsidRPr="009111F8" w:rsidRDefault="0075382C" w:rsidP="000C3975">
            <w:pPr>
              <w:rPr>
                <w:rFonts w:ascii="Cambria" w:hAnsi="Cambria"/>
              </w:rPr>
            </w:pPr>
            <w:r w:rsidRPr="009111F8">
              <w:rPr>
                <w:rFonts w:ascii="Cambria" w:hAnsi="Cambria"/>
              </w:rPr>
              <w:t>AI utilization positively affects purchase decisions primarily through consumer trust.</w:t>
            </w:r>
          </w:p>
        </w:tc>
      </w:tr>
      <w:tr w:rsidR="0075382C" w:rsidRPr="009111F8" w14:paraId="7A3C1D48" w14:textId="77777777" w:rsidTr="0075382C">
        <w:trPr>
          <w:jc w:val="center"/>
        </w:trPr>
        <w:tc>
          <w:tcPr>
            <w:tcW w:w="250" w:type="pct"/>
          </w:tcPr>
          <w:p w14:paraId="5CE4A598" w14:textId="77777777" w:rsidR="0075382C" w:rsidRPr="009111F8" w:rsidRDefault="0075382C" w:rsidP="000C3975">
            <w:pPr>
              <w:jc w:val="center"/>
              <w:rPr>
                <w:rFonts w:ascii="Cambria" w:hAnsi="Cambria"/>
              </w:rPr>
            </w:pPr>
            <w:r w:rsidRPr="009111F8">
              <w:rPr>
                <w:rFonts w:ascii="Cambria" w:hAnsi="Cambria"/>
              </w:rPr>
              <w:t>12</w:t>
            </w:r>
          </w:p>
        </w:tc>
        <w:tc>
          <w:tcPr>
            <w:tcW w:w="1000" w:type="pct"/>
          </w:tcPr>
          <w:p w14:paraId="4AB1A9E2" w14:textId="77777777" w:rsidR="0075382C" w:rsidRPr="009111F8" w:rsidRDefault="0075382C" w:rsidP="000C3975">
            <w:pPr>
              <w:rPr>
                <w:rFonts w:ascii="Cambria" w:hAnsi="Cambria"/>
              </w:rPr>
            </w:pPr>
            <w:r w:rsidRPr="009111F8">
              <w:rPr>
                <w:rFonts w:ascii="Cambria" w:hAnsi="Cambria"/>
              </w:rPr>
              <w:t>Chen &amp; Thianthai (2026)</w:t>
            </w:r>
          </w:p>
        </w:tc>
        <w:tc>
          <w:tcPr>
            <w:tcW w:w="1250" w:type="pct"/>
          </w:tcPr>
          <w:p w14:paraId="1CCF31FF" w14:textId="77777777" w:rsidR="0075382C" w:rsidRPr="009111F8" w:rsidRDefault="0075382C" w:rsidP="000C3975">
            <w:pPr>
              <w:rPr>
                <w:rFonts w:ascii="Cambria" w:hAnsi="Cambria"/>
              </w:rPr>
            </w:pPr>
            <w:r w:rsidRPr="009111F8">
              <w:rPr>
                <w:rFonts w:ascii="Cambria" w:hAnsi="Cambria"/>
              </w:rPr>
              <w:t>Social commerce, China</w:t>
            </w:r>
          </w:p>
        </w:tc>
        <w:tc>
          <w:tcPr>
            <w:tcW w:w="900" w:type="pct"/>
          </w:tcPr>
          <w:p w14:paraId="53BDD6E2" w14:textId="77777777" w:rsidR="0075382C" w:rsidRPr="009111F8" w:rsidRDefault="0075382C" w:rsidP="000C3975">
            <w:pPr>
              <w:rPr>
                <w:rFonts w:ascii="Cambria" w:hAnsi="Cambria"/>
              </w:rPr>
            </w:pPr>
            <w:r w:rsidRPr="009111F8">
              <w:rPr>
                <w:rFonts w:ascii="Cambria" w:hAnsi="Cambria"/>
              </w:rPr>
              <w:t>Survey / SEM</w:t>
            </w:r>
          </w:p>
        </w:tc>
        <w:tc>
          <w:tcPr>
            <w:tcW w:w="1600" w:type="pct"/>
          </w:tcPr>
          <w:p w14:paraId="34E96E60" w14:textId="77777777" w:rsidR="0075382C" w:rsidRPr="009111F8" w:rsidRDefault="0075382C" w:rsidP="000C3975">
            <w:pPr>
              <w:rPr>
                <w:rFonts w:ascii="Cambria" w:hAnsi="Cambria"/>
              </w:rPr>
            </w:pPr>
            <w:r w:rsidRPr="009111F8">
              <w:rPr>
                <w:rFonts w:ascii="Cambria" w:hAnsi="Cambria"/>
              </w:rPr>
              <w:t>AI technology and customer experience jointly enhance purchase intention.</w:t>
            </w:r>
          </w:p>
        </w:tc>
      </w:tr>
      <w:tr w:rsidR="0075382C" w:rsidRPr="009111F8" w14:paraId="226299E8" w14:textId="77777777" w:rsidTr="0075382C">
        <w:trPr>
          <w:jc w:val="center"/>
        </w:trPr>
        <w:tc>
          <w:tcPr>
            <w:tcW w:w="250" w:type="pct"/>
          </w:tcPr>
          <w:p w14:paraId="6F3C4D23" w14:textId="77777777" w:rsidR="0075382C" w:rsidRPr="009111F8" w:rsidRDefault="0075382C" w:rsidP="000C3975">
            <w:pPr>
              <w:jc w:val="center"/>
              <w:rPr>
                <w:rFonts w:ascii="Cambria" w:hAnsi="Cambria"/>
              </w:rPr>
            </w:pPr>
            <w:r w:rsidRPr="009111F8">
              <w:rPr>
                <w:rFonts w:ascii="Cambria" w:hAnsi="Cambria"/>
              </w:rPr>
              <w:t>13</w:t>
            </w:r>
          </w:p>
        </w:tc>
        <w:tc>
          <w:tcPr>
            <w:tcW w:w="1000" w:type="pct"/>
          </w:tcPr>
          <w:p w14:paraId="77682CD3" w14:textId="77777777" w:rsidR="0075382C" w:rsidRPr="009111F8" w:rsidRDefault="0075382C" w:rsidP="000C3975">
            <w:pPr>
              <w:rPr>
                <w:rFonts w:ascii="Cambria" w:hAnsi="Cambria"/>
              </w:rPr>
            </w:pPr>
            <w:r w:rsidRPr="009111F8">
              <w:rPr>
                <w:rFonts w:ascii="Cambria" w:hAnsi="Cambria"/>
              </w:rPr>
              <w:t>Ribeiro et al. (2025)</w:t>
            </w:r>
          </w:p>
        </w:tc>
        <w:tc>
          <w:tcPr>
            <w:tcW w:w="1250" w:type="pct"/>
          </w:tcPr>
          <w:p w14:paraId="728C9741" w14:textId="77777777" w:rsidR="0075382C" w:rsidRPr="009111F8" w:rsidRDefault="0075382C" w:rsidP="000C3975">
            <w:pPr>
              <w:rPr>
                <w:rFonts w:ascii="Cambria" w:hAnsi="Cambria"/>
              </w:rPr>
            </w:pPr>
            <w:r w:rsidRPr="009111F8">
              <w:rPr>
                <w:rFonts w:ascii="Cambria" w:hAnsi="Cambria"/>
              </w:rPr>
              <w:t>AI and consumer behavior toward brands</w:t>
            </w:r>
          </w:p>
        </w:tc>
        <w:tc>
          <w:tcPr>
            <w:tcW w:w="900" w:type="pct"/>
          </w:tcPr>
          <w:p w14:paraId="16939B84" w14:textId="77777777" w:rsidR="0075382C" w:rsidRPr="009111F8" w:rsidRDefault="0075382C" w:rsidP="000C3975">
            <w:pPr>
              <w:rPr>
                <w:rFonts w:ascii="Cambria" w:hAnsi="Cambria"/>
              </w:rPr>
            </w:pPr>
            <w:r w:rsidRPr="009111F8">
              <w:rPr>
                <w:rFonts w:ascii="Cambria" w:hAnsi="Cambria"/>
              </w:rPr>
              <w:t>Systematic review / bibliometric</w:t>
            </w:r>
          </w:p>
        </w:tc>
        <w:tc>
          <w:tcPr>
            <w:tcW w:w="1600" w:type="pct"/>
          </w:tcPr>
          <w:p w14:paraId="37C1D705" w14:textId="77777777" w:rsidR="0075382C" w:rsidRPr="009111F8" w:rsidRDefault="0075382C" w:rsidP="000C3975">
            <w:pPr>
              <w:rPr>
                <w:rFonts w:ascii="Cambria" w:hAnsi="Cambria"/>
              </w:rPr>
            </w:pPr>
            <w:r w:rsidRPr="009111F8">
              <w:rPr>
                <w:rFonts w:ascii="Cambria" w:hAnsi="Cambria"/>
              </w:rPr>
              <w:t>Identifies five thematic clusters; convenience, trust and personalization are central.</w:t>
            </w:r>
          </w:p>
        </w:tc>
      </w:tr>
      <w:tr w:rsidR="0075382C" w:rsidRPr="009111F8" w14:paraId="3FDD9F67" w14:textId="77777777" w:rsidTr="0075382C">
        <w:trPr>
          <w:jc w:val="center"/>
        </w:trPr>
        <w:tc>
          <w:tcPr>
            <w:tcW w:w="250" w:type="pct"/>
          </w:tcPr>
          <w:p w14:paraId="3BB730DF" w14:textId="77777777" w:rsidR="0075382C" w:rsidRPr="009111F8" w:rsidRDefault="0075382C" w:rsidP="000C3975">
            <w:pPr>
              <w:jc w:val="center"/>
              <w:rPr>
                <w:rFonts w:ascii="Cambria" w:hAnsi="Cambria"/>
              </w:rPr>
            </w:pPr>
            <w:r w:rsidRPr="009111F8">
              <w:rPr>
                <w:rFonts w:ascii="Cambria" w:hAnsi="Cambria"/>
              </w:rPr>
              <w:t>14</w:t>
            </w:r>
          </w:p>
        </w:tc>
        <w:tc>
          <w:tcPr>
            <w:tcW w:w="1000" w:type="pct"/>
          </w:tcPr>
          <w:p w14:paraId="7DDAC1CF" w14:textId="77777777" w:rsidR="0075382C" w:rsidRPr="009111F8" w:rsidRDefault="0075382C" w:rsidP="000C3975">
            <w:pPr>
              <w:rPr>
                <w:rFonts w:ascii="Cambria" w:hAnsi="Cambria"/>
              </w:rPr>
            </w:pPr>
            <w:r w:rsidRPr="009111F8">
              <w:rPr>
                <w:rFonts w:ascii="Cambria" w:hAnsi="Cambria"/>
              </w:rPr>
              <w:t>Nogueira et al. (2025)</w:t>
            </w:r>
          </w:p>
        </w:tc>
        <w:tc>
          <w:tcPr>
            <w:tcW w:w="1250" w:type="pct"/>
          </w:tcPr>
          <w:p w14:paraId="4C4A2A7E" w14:textId="77777777" w:rsidR="0075382C" w:rsidRPr="009111F8" w:rsidRDefault="0075382C" w:rsidP="000C3975">
            <w:pPr>
              <w:rPr>
                <w:rFonts w:ascii="Cambria" w:hAnsi="Cambria"/>
              </w:rPr>
            </w:pPr>
            <w:r w:rsidRPr="009111F8">
              <w:rPr>
                <w:rFonts w:ascii="Cambria" w:hAnsi="Cambria"/>
              </w:rPr>
              <w:t>AI in consumption (561 publications)</w:t>
            </w:r>
          </w:p>
        </w:tc>
        <w:tc>
          <w:tcPr>
            <w:tcW w:w="900" w:type="pct"/>
          </w:tcPr>
          <w:p w14:paraId="544D0D32" w14:textId="77777777" w:rsidR="0075382C" w:rsidRPr="009111F8" w:rsidRDefault="0075382C" w:rsidP="000C3975">
            <w:pPr>
              <w:rPr>
                <w:rFonts w:ascii="Cambria" w:hAnsi="Cambria"/>
              </w:rPr>
            </w:pPr>
            <w:r w:rsidRPr="009111F8">
              <w:rPr>
                <w:rFonts w:ascii="Cambria" w:hAnsi="Cambria"/>
              </w:rPr>
              <w:t>Bibliometric review</w:t>
            </w:r>
          </w:p>
        </w:tc>
        <w:tc>
          <w:tcPr>
            <w:tcW w:w="1600" w:type="pct"/>
          </w:tcPr>
          <w:p w14:paraId="2B0026CF" w14:textId="77777777" w:rsidR="0075382C" w:rsidRPr="009111F8" w:rsidRDefault="0075382C" w:rsidP="000C3975">
            <w:pPr>
              <w:rPr>
                <w:rFonts w:ascii="Cambria" w:hAnsi="Cambria"/>
              </w:rPr>
            </w:pPr>
            <w:r w:rsidRPr="009111F8">
              <w:rPr>
                <w:rFonts w:ascii="Cambria" w:hAnsi="Cambria"/>
              </w:rPr>
              <w:t>Calls for integrative theoretical framing linking AI adoption to purchase outcomes.</w:t>
            </w:r>
          </w:p>
        </w:tc>
      </w:tr>
      <w:tr w:rsidR="0075382C" w:rsidRPr="009111F8" w14:paraId="6282721C" w14:textId="77777777" w:rsidTr="0075382C">
        <w:trPr>
          <w:jc w:val="center"/>
        </w:trPr>
        <w:tc>
          <w:tcPr>
            <w:tcW w:w="250" w:type="pct"/>
          </w:tcPr>
          <w:p w14:paraId="343901D8" w14:textId="77777777" w:rsidR="0075382C" w:rsidRPr="009111F8" w:rsidRDefault="0075382C" w:rsidP="000C3975">
            <w:pPr>
              <w:jc w:val="center"/>
              <w:rPr>
                <w:rFonts w:ascii="Cambria" w:hAnsi="Cambria"/>
              </w:rPr>
            </w:pPr>
            <w:r w:rsidRPr="009111F8">
              <w:rPr>
                <w:rFonts w:ascii="Cambria" w:hAnsi="Cambria"/>
              </w:rPr>
              <w:t>15</w:t>
            </w:r>
          </w:p>
        </w:tc>
        <w:tc>
          <w:tcPr>
            <w:tcW w:w="1000" w:type="pct"/>
          </w:tcPr>
          <w:p w14:paraId="0A0883A1" w14:textId="77777777" w:rsidR="0075382C" w:rsidRPr="009111F8" w:rsidRDefault="0075382C" w:rsidP="000C3975">
            <w:pPr>
              <w:rPr>
                <w:rFonts w:ascii="Cambria" w:hAnsi="Cambria"/>
              </w:rPr>
            </w:pPr>
            <w:r w:rsidRPr="009111F8">
              <w:rPr>
                <w:rFonts w:ascii="Cambria" w:hAnsi="Cambria"/>
              </w:rPr>
              <w:t>Fu et al. (2023)</w:t>
            </w:r>
          </w:p>
        </w:tc>
        <w:tc>
          <w:tcPr>
            <w:tcW w:w="1250" w:type="pct"/>
          </w:tcPr>
          <w:p w14:paraId="03AE67E5" w14:textId="77777777" w:rsidR="0075382C" w:rsidRPr="009111F8" w:rsidRDefault="0075382C" w:rsidP="000C3975">
            <w:pPr>
              <w:rPr>
                <w:rFonts w:ascii="Cambria" w:hAnsi="Cambria"/>
              </w:rPr>
            </w:pPr>
            <w:r w:rsidRPr="009111F8">
              <w:rPr>
                <w:rFonts w:ascii="Cambria" w:hAnsi="Cambria"/>
              </w:rPr>
              <w:t>AI adoption in the retail industry</w:t>
            </w:r>
          </w:p>
        </w:tc>
        <w:tc>
          <w:tcPr>
            <w:tcW w:w="900" w:type="pct"/>
          </w:tcPr>
          <w:p w14:paraId="54D47CB4" w14:textId="77777777" w:rsidR="0075382C" w:rsidRPr="009111F8" w:rsidRDefault="0075382C" w:rsidP="000C3975">
            <w:pPr>
              <w:rPr>
                <w:rFonts w:ascii="Cambria" w:hAnsi="Cambria"/>
              </w:rPr>
            </w:pPr>
            <w:r w:rsidRPr="009111F8">
              <w:rPr>
                <w:rFonts w:ascii="Cambria" w:hAnsi="Cambria"/>
              </w:rPr>
              <w:t>Mixed-method evaluation</w:t>
            </w:r>
          </w:p>
        </w:tc>
        <w:tc>
          <w:tcPr>
            <w:tcW w:w="1600" w:type="pct"/>
          </w:tcPr>
          <w:p w14:paraId="76C0EE4A" w14:textId="77777777" w:rsidR="0075382C" w:rsidRPr="009111F8" w:rsidRDefault="0075382C" w:rsidP="000C3975">
            <w:pPr>
              <w:rPr>
                <w:rFonts w:ascii="Cambria" w:hAnsi="Cambria"/>
              </w:rPr>
            </w:pPr>
            <w:r w:rsidRPr="009111F8">
              <w:rPr>
                <w:rFonts w:ascii="Cambria" w:hAnsi="Cambria"/>
              </w:rPr>
              <w:t>Identifies adoption barriers: implementation cost, skill gaps, and residual distrust.</w:t>
            </w:r>
          </w:p>
        </w:tc>
      </w:tr>
    </w:tbl>
    <w:p w14:paraId="4160854C" w14:textId="77777777" w:rsidR="0075382C" w:rsidRPr="009111F8" w:rsidRDefault="0075382C" w:rsidP="0075382C">
      <w:pPr>
        <w:jc w:val="both"/>
        <w:rPr>
          <w:rFonts w:ascii="Cambria" w:hAnsi="Cambria"/>
        </w:rPr>
      </w:pPr>
    </w:p>
    <w:p w14:paraId="2EE68861"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AI Personalization and Recommendation Systems</w:t>
      </w:r>
    </w:p>
    <w:p w14:paraId="5D0ACDEC" w14:textId="02F18E8E" w:rsidR="0075382C" w:rsidRPr="009111F8" w:rsidRDefault="0075382C" w:rsidP="0075382C">
      <w:pPr>
        <w:ind w:firstLine="720"/>
        <w:jc w:val="both"/>
        <w:rPr>
          <w:rFonts w:ascii="Cambria" w:hAnsi="Cambria"/>
        </w:rPr>
      </w:pPr>
      <w:r w:rsidRPr="009111F8">
        <w:rPr>
          <w:rFonts w:ascii="Cambria" w:hAnsi="Cambria"/>
        </w:rPr>
        <w:t>Across the twenty-five reviewed studies, AI-based personalization emerges as the most consistently reported antecedent of favorable consumer purchase decisions. Arum et al. (2026) find that AI-driven product recommendations and dynamically tailored content significantly increase Indonesian e-commerce consumers' purchase decisions by reducing information overload and increasing perceived relevance. Similarly, Karthik and Ramprasad (2025) and Chowdhury et al. (2024) report that AI-enabled digital marketing</w:t>
      </w:r>
      <w:r w:rsidR="00DA4EE6">
        <w:rPr>
          <w:rFonts w:ascii="Cambria" w:hAnsi="Cambria"/>
        </w:rPr>
        <w:t xml:space="preserve"> </w:t>
      </w:r>
      <w:r w:rsidRPr="009111F8">
        <w:rPr>
          <w:rFonts w:ascii="Cambria" w:hAnsi="Cambria"/>
        </w:rPr>
        <w:t>spanning targeted advertising, predictive analytics, and adaptive interfaces</w:t>
      </w:r>
      <w:r w:rsidR="00DA4EE6">
        <w:rPr>
          <w:rFonts w:ascii="Cambria" w:hAnsi="Cambria"/>
        </w:rPr>
        <w:t xml:space="preserve"> </w:t>
      </w:r>
      <w:r w:rsidRPr="009111F8">
        <w:rPr>
          <w:rFonts w:ascii="Cambria" w:hAnsi="Cambria"/>
        </w:rPr>
        <w:t>exerts a statistically significant positive effect on purchase intention, mediated by heightened consumer engagement. These findings align with Alsaffarini and Awwad's (2026) sustainability-marketing study, which shows that AI personalization increases purchase decisions even when sustainability messaging is present, suggesting that personalization effects are robust across value-oriented and conventional retail contexts. Collectively, this cluster of evidence supports the stimulus role assigned to personalization in the proposed conceptual model: AI-curated content functions as an external stimulus that reduces search costs and increases perceived fit between offerings and consumer needs, consistent with the S-O-R logic underpinning contemporary digital-marketing scholarship (Nasution et al., 2025).</w:t>
      </w:r>
    </w:p>
    <w:p w14:paraId="028ACB07"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Trust, Credibility, and Customer Experience as Mediators</w:t>
      </w:r>
    </w:p>
    <w:p w14:paraId="219B7B6D" w14:textId="005E9037" w:rsidR="0075382C" w:rsidRPr="009111F8" w:rsidRDefault="0075382C" w:rsidP="0075382C">
      <w:pPr>
        <w:jc w:val="both"/>
        <w:rPr>
          <w:rFonts w:ascii="Cambria" w:hAnsi="Cambria"/>
        </w:rPr>
      </w:pPr>
      <w:r>
        <w:rPr>
          <w:rFonts w:ascii="Cambria" w:hAnsi="Cambria"/>
        </w:rPr>
        <w:tab/>
      </w:r>
      <w:r w:rsidRPr="009111F8">
        <w:rPr>
          <w:rFonts w:ascii="Cambria" w:hAnsi="Cambria"/>
        </w:rPr>
        <w:t>A second, equally prominent theme concerns the mediating role of consumer trust and customer experience. Cuesta-Valiño et al. (2025), drawing on a large Spanish sample (n = 1,471), demonstrate that trust, credibility, and versatility</w:t>
      </w:r>
      <w:r w:rsidR="00DA4EE6">
        <w:rPr>
          <w:rFonts w:ascii="Cambria" w:hAnsi="Cambria"/>
        </w:rPr>
        <w:t xml:space="preserve"> </w:t>
      </w:r>
      <w:r w:rsidRPr="009111F8">
        <w:rPr>
          <w:rFonts w:ascii="Cambria" w:hAnsi="Cambria"/>
        </w:rPr>
        <w:t>rather than privacy/security or interface design alone</w:t>
      </w:r>
      <w:r w:rsidR="00DA4EE6">
        <w:rPr>
          <w:rFonts w:ascii="Cambria" w:hAnsi="Cambria"/>
        </w:rPr>
        <w:t xml:space="preserve"> </w:t>
      </w:r>
      <w:r w:rsidRPr="009111F8">
        <w:rPr>
          <w:rFonts w:ascii="Cambria" w:hAnsi="Cambria"/>
        </w:rPr>
        <w:t>are the strongest motivators of AI adoption in retail, which subsequently drives consumer satisfaction and happiness. Dora and Saefudin (2025) similarly find that AI utilization affects purchase decisions primarily through the trust consumers place in algorithmic recommendations rather than through a purely technological effect. Santy and Iffan (2023), studying Indonesian marketplace users, report that AI and gamification jointly influence online purchase intention, with customer experience acting as a significant mediating mechanism. These results converge with Dixit et al.'s (2025) UTAUT2-based analysis of the Delhi-NCR online retail sector, which identifies performance expectancy and trust in AI systems as the strongest predictors of purchase decision-making. Taken together, this body of evidence substantiates the mediator position assigned to consumer trust and customer experience in the conceptual model proposed in this study (Figure 1): AI adoption alone does not automatically translate into purchase decisions but does so contingent on the trust and experiential quality it generates.</w:t>
      </w:r>
    </w:p>
    <w:p w14:paraId="64DABAB2"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Chatbots and Conversational Commerce</w:t>
      </w:r>
    </w:p>
    <w:p w14:paraId="3639350D" w14:textId="660DE85C" w:rsidR="0075382C" w:rsidRPr="009111F8" w:rsidRDefault="0075382C" w:rsidP="0075382C">
      <w:pPr>
        <w:jc w:val="both"/>
        <w:rPr>
          <w:rFonts w:ascii="Cambria" w:hAnsi="Cambria"/>
        </w:rPr>
      </w:pPr>
      <w:r>
        <w:rPr>
          <w:rFonts w:ascii="Cambria" w:hAnsi="Cambria"/>
        </w:rPr>
        <w:tab/>
      </w:r>
      <w:r w:rsidRPr="009111F8">
        <w:rPr>
          <w:rFonts w:ascii="Cambria" w:hAnsi="Cambria"/>
        </w:rPr>
        <w:t>Conversational AI constitutes a third recurrent theme. Budianto et al. (2026) show that chatbot- and virtual-assistant-mediated interactions positively influence consumer purchase decision-making by providing immediate, personalized responses that reduce perceived transactional risk. Latha and Chandran (2025) reach a comparable conclusion, reporting that AI-enabled marketing strategies</w:t>
      </w:r>
      <w:r w:rsidR="00DA4EE6">
        <w:rPr>
          <w:rFonts w:ascii="Cambria" w:hAnsi="Cambria"/>
        </w:rPr>
        <w:t xml:space="preserve"> </w:t>
      </w:r>
      <w:r w:rsidRPr="009111F8">
        <w:rPr>
          <w:rFonts w:ascii="Cambria" w:hAnsi="Cambria"/>
        </w:rPr>
        <w:t>including conversational recommendation tools</w:t>
      </w:r>
      <w:r w:rsidR="00DA4EE6">
        <w:rPr>
          <w:rFonts w:ascii="Cambria" w:hAnsi="Cambria"/>
        </w:rPr>
        <w:t xml:space="preserve"> </w:t>
      </w:r>
      <w:r w:rsidRPr="009111F8">
        <w:rPr>
          <w:rFonts w:ascii="Cambria" w:hAnsi="Cambria"/>
        </w:rPr>
        <w:t>significantly enhance purchase decisions when consumers perceive the interaction as responsive and human-like. These findings extend earlier technology-acceptance research by suggesting that the anthropomorphic and interactive qualities of AI chat interfaces amplify the perceived-usefulness pathway central to TAM, providing further empirical grounding for the chatbot/virtual-assistant-interaction antecedent included in the proposed model.</w:t>
      </w:r>
    </w:p>
    <w:p w14:paraId="4BB50D43"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Generational and Cultural Variance</w:t>
      </w:r>
    </w:p>
    <w:p w14:paraId="7BCA9F80" w14:textId="3F223E1D" w:rsidR="0075382C" w:rsidRPr="009111F8" w:rsidRDefault="0075382C" w:rsidP="0075382C">
      <w:pPr>
        <w:jc w:val="both"/>
        <w:rPr>
          <w:rFonts w:ascii="Cambria" w:hAnsi="Cambria"/>
        </w:rPr>
      </w:pPr>
      <w:r>
        <w:rPr>
          <w:rFonts w:ascii="Cambria" w:hAnsi="Cambria"/>
        </w:rPr>
        <w:tab/>
      </w:r>
      <w:r w:rsidRPr="009111F8">
        <w:rPr>
          <w:rFonts w:ascii="Cambria" w:hAnsi="Cambria"/>
        </w:rPr>
        <w:t>Generational and cultural context substantially moderates the strength of AI's influence on purchase decisions. Pradhanawati and Pinem (2025) and Shiddieqy and Widarmanti (2025) both report that Generation Z consumers in emerging economies exhibit markedly stronger AI adoption and more favorable purchase-decision responses to AI-personalized marketing than do older cohorts, though this heightened responsiveness coexists with elevated sensitivity to data-privacy risks. Gantulga and Baljinnyam (2025), examining Mongolian consumers, find that AI-tool exposure shapes purchase attitude but that trust formation proceeds more cautiously in markets with lower digital-platform maturity. Chen and Thianthai (2026) similarly show that in China's advanced social-commerce environment, AI technology and customer experience jointly and strongly predict purchase intention, indicating that market maturity amplifies the AI-purchase decision relationship. These patterns collectively justify situating the digital economy context as a moderating</w:t>
      </w:r>
      <w:r w:rsidR="00DA4EE6">
        <w:rPr>
          <w:rFonts w:ascii="Cambria" w:hAnsi="Cambria"/>
        </w:rPr>
        <w:t xml:space="preserve"> </w:t>
      </w:r>
      <w:r w:rsidRPr="009111F8">
        <w:rPr>
          <w:rFonts w:ascii="Cambria" w:hAnsi="Cambria"/>
        </w:rPr>
        <w:t>rather than merely descriptive</w:t>
      </w:r>
      <w:r w:rsidR="00DA4EE6">
        <w:rPr>
          <w:rFonts w:ascii="Cambria" w:hAnsi="Cambria"/>
        </w:rPr>
        <w:t xml:space="preserve"> </w:t>
      </w:r>
      <w:r w:rsidRPr="009111F8">
        <w:rPr>
          <w:rFonts w:ascii="Cambria" w:hAnsi="Cambria"/>
        </w:rPr>
        <w:t>element of the conceptual model, since the maturity of digital infrastructure and consumer digital literacy appear to condition how strongly AI adoption translates into purchase decisions.</w:t>
      </w:r>
    </w:p>
    <w:p w14:paraId="2755DB60" w14:textId="4A375319"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Sector-Specific Evidence: Live Streaming, Social Commerce, and</w:t>
      </w:r>
      <w:r>
        <w:rPr>
          <w:rFonts w:ascii="Cambria" w:hAnsi="Cambria"/>
          <w:i/>
          <w:iCs/>
          <w:sz w:val="24"/>
          <w:szCs w:val="24"/>
        </w:rPr>
        <w:t xml:space="preserve"> </w:t>
      </w:r>
      <w:r w:rsidRPr="009111F8">
        <w:rPr>
          <w:rFonts w:ascii="Cambria" w:hAnsi="Cambria"/>
          <w:i/>
          <w:iCs/>
          <w:sz w:val="24"/>
          <w:szCs w:val="24"/>
        </w:rPr>
        <w:t>Telecommunications</w:t>
      </w:r>
    </w:p>
    <w:p w14:paraId="23CDBEAE" w14:textId="33550651" w:rsidR="0075382C" w:rsidRPr="009111F8" w:rsidRDefault="0075382C" w:rsidP="0075382C">
      <w:pPr>
        <w:jc w:val="both"/>
        <w:rPr>
          <w:rFonts w:ascii="Cambria" w:hAnsi="Cambria"/>
        </w:rPr>
      </w:pPr>
      <w:r>
        <w:rPr>
          <w:rFonts w:ascii="Cambria" w:hAnsi="Cambria"/>
        </w:rPr>
        <w:tab/>
      </w:r>
      <w:r w:rsidRPr="009111F8">
        <w:rPr>
          <w:rFonts w:ascii="Cambria" w:hAnsi="Cambria"/>
        </w:rPr>
        <w:t>Sector-specific evidence further nuances these general patterns. In live-streaming commerce, Mei et al. (2025) show that AI-curated content sequencing and real-time recommendation significantly drive both impulsive and planned purchase decisions, highlighting AI's capacity to compress the traditional evaluation stage of the purchase-decision process. In AI-generated sponsored content, Liu et al. (2025) find that consumers' AI literacy critically shapes whether AI-generated vlogs are perceived as trustworthy, with more AI-literate consumers more discerning but not necessarily less persuadable. In telecommunications services, Mousa et al. (2026) report that virtual customer experience significantly moderates the relationship between AI marketing technologies and purchase decisions, with further implications for sustainable consumption. These sector-specific findings suggest that while the core antecedent-mediator-outcome structure proposed in this study's conceptual model appears broadly generalizable, the relative weight of specific antecedents personalization in e-commerce, experience quality in telecommunications, and content curation in live streaming is likely to vary by industry.</w:t>
      </w:r>
    </w:p>
    <w:p w14:paraId="2718D3A8"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Risks, Ethical Concerns, and Adoption Barriers</w:t>
      </w:r>
    </w:p>
    <w:p w14:paraId="7E7CA194" w14:textId="79A89DFC" w:rsidR="0075382C" w:rsidRPr="009111F8" w:rsidRDefault="0075382C" w:rsidP="0075382C">
      <w:pPr>
        <w:jc w:val="both"/>
        <w:rPr>
          <w:rFonts w:ascii="Cambria" w:hAnsi="Cambria"/>
        </w:rPr>
      </w:pPr>
      <w:r>
        <w:rPr>
          <w:rFonts w:ascii="Cambria" w:hAnsi="Cambria"/>
        </w:rPr>
        <w:tab/>
      </w:r>
      <w:r w:rsidRPr="009111F8">
        <w:rPr>
          <w:rFonts w:ascii="Cambria" w:hAnsi="Cambria"/>
        </w:rPr>
        <w:t>Notwithstanding these largely positive findings, several studies caution that AI adoption is not unconditionally beneficial to purchase-decision quality. Fu et al. (2023) identify persistent adoption barriers in the retail sector, including implementation cost, workforce skill gaps, and residual consumer distrust of automated recommendations. Saleh and Zeebaree (2025), in a systematic review of AI in e-commerce and digital marketing, highlight recurring ethical concerns</w:t>
      </w:r>
      <w:r w:rsidR="00DA4EE6">
        <w:rPr>
          <w:rFonts w:ascii="Cambria" w:hAnsi="Cambria"/>
        </w:rPr>
        <w:t xml:space="preserve"> </w:t>
      </w:r>
      <w:r w:rsidRPr="009111F8">
        <w:rPr>
          <w:rFonts w:ascii="Cambria" w:hAnsi="Cambria"/>
        </w:rPr>
        <w:t>algorithmic bias, opaque data practices, and diminished consumer autonomy that can offset the positive engagement effects of personalization if left unaddressed. These risk factors indicate that the strength of the AI-adoption-to-purchase-decision pathway is bounded by consumers' ethical and privacy evaluations, an important boundary condition for the conceptual model proposed here.</w:t>
      </w:r>
    </w:p>
    <w:p w14:paraId="0E4FAAE5" w14:textId="77777777" w:rsidR="0075382C" w:rsidRPr="009111F8" w:rsidRDefault="0075382C" w:rsidP="0075382C">
      <w:pPr>
        <w:pStyle w:val="Heading2"/>
        <w:spacing w:before="260" w:after="0" w:afterAutospacing="0"/>
        <w:rPr>
          <w:rFonts w:ascii="Cambria" w:hAnsi="Cambria"/>
          <w:sz w:val="24"/>
          <w:szCs w:val="24"/>
        </w:rPr>
      </w:pPr>
      <w:r w:rsidRPr="009111F8">
        <w:rPr>
          <w:rFonts w:ascii="Cambria" w:hAnsi="Cambria"/>
          <w:i/>
          <w:iCs/>
          <w:sz w:val="24"/>
          <w:szCs w:val="24"/>
        </w:rPr>
        <w:t>Toward an Integrative Model: Synthesis and Implications</w:t>
      </w:r>
    </w:p>
    <w:p w14:paraId="2E73A9C8" w14:textId="0991F5DC" w:rsidR="003B68F7" w:rsidRPr="00B96187" w:rsidRDefault="0075382C" w:rsidP="0075382C">
      <w:pPr>
        <w:ind w:firstLine="810"/>
        <w:jc w:val="both"/>
        <w:rPr>
          <w:rFonts w:ascii="Cambria" w:eastAsia="Cambria" w:hAnsi="Cambria" w:cs="Cambria"/>
          <w:sz w:val="28"/>
          <w:szCs w:val="28"/>
        </w:rPr>
      </w:pPr>
      <w:r w:rsidRPr="009111F8">
        <w:rPr>
          <w:rFonts w:ascii="Cambria" w:hAnsi="Cambria"/>
        </w:rPr>
        <w:t>Synthesizing across these themes, the reviewed literature supports a coherent narrative: AI adoption antecedents</w:t>
      </w:r>
      <w:r w:rsidR="00DA4EE6">
        <w:rPr>
          <w:rFonts w:ascii="Cambria" w:hAnsi="Cambria"/>
        </w:rPr>
        <w:t xml:space="preserve"> </w:t>
      </w:r>
      <w:r w:rsidRPr="009111F8">
        <w:rPr>
          <w:rFonts w:ascii="Cambria" w:hAnsi="Cambria"/>
        </w:rPr>
        <w:t>personalization, perceived usefulness, trust/credibility, and conversational interaction</w:t>
      </w:r>
      <w:r w:rsidR="00DA4EE6">
        <w:rPr>
          <w:rFonts w:ascii="Cambria" w:hAnsi="Cambria"/>
        </w:rPr>
        <w:t xml:space="preserve"> </w:t>
      </w:r>
      <w:r w:rsidRPr="009111F8">
        <w:rPr>
          <w:rFonts w:ascii="Cambria" w:hAnsi="Cambria"/>
        </w:rPr>
        <w:t>act as digital stimuli that shape AI adoption and, through the mediating organismic states of consumer trust and customer experience, ultimately influence consumer purchase decisions, with the overall strength and configuration of these relationships moderated by the maturity and characteristics of the digital economy context (Nogueira et al., 2025; Ribeiro et al., 2025; Singh et al., 2026). This synthesis both confirms the core structure of the conceptual model presented in Figure 1 and extends prior bibliometric work, which had identified relevant thematic clusters (Ribeiro et al., 2025) but had not yet integrated them into a single testable framework. Theoretically, the findings suggest that TAM/UTAUT2 constructs alone are insufficient to explain AI-mediated purchase behavior without incorporating trust and experiential mediators drawn from consumer psychology; practically, the findings imply that digital businesses seeking to leverage AI for purchase-decision influence should prioritize trust-building and experience quality alongside algorithmic sophistication, particularly in emerging digital-economy markets where platform maturity and consumer digital literacy are still developing</w:t>
      </w:r>
    </w:p>
    <w:p w14:paraId="2E73A9C9" w14:textId="575E5AC4" w:rsidR="003B68F7" w:rsidRDefault="00460A81">
      <w:pPr>
        <w:ind w:right="48"/>
        <w:rPr>
          <w:rFonts w:ascii="Cambria" w:eastAsia="Cambria" w:hAnsi="Cambria" w:cs="Cambria"/>
          <w:i/>
        </w:rPr>
      </w:pPr>
      <w:r>
        <w:rPr>
          <w:rFonts w:ascii="Cambria" w:eastAsia="Cambria" w:hAnsi="Cambria" w:cs="Cambria"/>
        </w:rPr>
        <w:tab/>
      </w:r>
    </w:p>
    <w:p w14:paraId="2E73A9CB" w14:textId="0A2E210B" w:rsidR="003B68F7" w:rsidRDefault="00460A81">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CONCLUSIONS </w:t>
      </w:r>
    </w:p>
    <w:p w14:paraId="7E25B415" w14:textId="5F2227C5" w:rsidR="002C6F3A" w:rsidRPr="002C6F3A" w:rsidRDefault="002C6F3A" w:rsidP="002C6F3A">
      <w:pPr>
        <w:pBdr>
          <w:top w:val="nil"/>
          <w:left w:val="nil"/>
          <w:bottom w:val="nil"/>
          <w:right w:val="nil"/>
          <w:between w:val="nil"/>
        </w:pBdr>
        <w:ind w:firstLine="567"/>
        <w:jc w:val="both"/>
        <w:rPr>
          <w:rFonts w:ascii="Cambria" w:eastAsia="Cambria" w:hAnsi="Cambria" w:cs="Cambria"/>
          <w:lang w:val="en-ID"/>
        </w:rPr>
      </w:pPr>
      <w:r w:rsidRPr="002C6F3A">
        <w:rPr>
          <w:rFonts w:ascii="Cambria" w:eastAsia="Cambria" w:hAnsi="Cambria" w:cs="Cambria"/>
          <w:lang w:val="en-ID"/>
        </w:rPr>
        <w:t>This study set out to synthesize recent evidence on how artificial intelligence adoption relates to consumer purchase decisions within the digital economy, and to propose an integrative conceptual model grounded in TAM, UTAUT2, and the S-O-R framework. Drawing on a systematic review of twenty-five peer-reviewed sources published between 2023 and 2026, the synthesis shows that AI adoption antecedents</w:t>
      </w:r>
      <w:r>
        <w:rPr>
          <w:rFonts w:ascii="Cambria" w:eastAsia="Cambria" w:hAnsi="Cambria" w:cs="Cambria"/>
          <w:lang w:val="en-ID"/>
        </w:rPr>
        <w:t xml:space="preserve"> </w:t>
      </w:r>
      <w:r w:rsidRPr="002C6F3A">
        <w:rPr>
          <w:rFonts w:ascii="Cambria" w:eastAsia="Cambria" w:hAnsi="Cambria" w:cs="Cambria"/>
          <w:lang w:val="en-ID"/>
        </w:rPr>
        <w:t>personalization, perceived usefulness, trust and credibility, and chatbot/virtual-assistant interaction</w:t>
      </w:r>
      <w:r>
        <w:rPr>
          <w:rFonts w:ascii="Cambria" w:eastAsia="Cambria" w:hAnsi="Cambria" w:cs="Cambria"/>
          <w:lang w:val="en-ID"/>
        </w:rPr>
        <w:t xml:space="preserve"> </w:t>
      </w:r>
      <w:r w:rsidRPr="002C6F3A">
        <w:rPr>
          <w:rFonts w:ascii="Cambria" w:eastAsia="Cambria" w:hAnsi="Cambria" w:cs="Cambria"/>
          <w:lang w:val="en-ID"/>
        </w:rPr>
        <w:t>function as digital stimuli that shape consumer purchase decisions both directly and, more consistently, indirectly through the mediating roles of consumer trust and customer experience. This relationship is not uniform: its strength and configuration are moderated by generational cohort, sector, cultural context, and the broader maturity of the digital economy in which consumers operate, while privacy and ethical concerns act as a persistent boundary condition that can dampen otherwise positive effects.</w:t>
      </w:r>
    </w:p>
    <w:p w14:paraId="077A85F0" w14:textId="4797EE09" w:rsidR="002C6F3A" w:rsidRPr="002C6F3A" w:rsidRDefault="002C6F3A" w:rsidP="002C6F3A">
      <w:pPr>
        <w:pBdr>
          <w:top w:val="nil"/>
          <w:left w:val="nil"/>
          <w:bottom w:val="nil"/>
          <w:right w:val="nil"/>
          <w:between w:val="nil"/>
        </w:pBdr>
        <w:ind w:firstLine="567"/>
        <w:jc w:val="both"/>
        <w:rPr>
          <w:rFonts w:ascii="Cambria" w:eastAsia="Cambria" w:hAnsi="Cambria" w:cs="Cambria"/>
          <w:lang w:val="en-ID"/>
        </w:rPr>
      </w:pPr>
      <w:r w:rsidRPr="002C6F3A">
        <w:rPr>
          <w:rFonts w:ascii="Cambria" w:eastAsia="Cambria" w:hAnsi="Cambria" w:cs="Cambria"/>
          <w:lang w:val="en-ID"/>
        </w:rPr>
        <w:t>Theoretically, this study contributes by integrating technology-adoption logic (TAM/UTAUT2) with a consumer-behavio</w:t>
      </w:r>
      <w:r>
        <w:rPr>
          <w:rFonts w:ascii="Cambria" w:eastAsia="Cambria" w:hAnsi="Cambria" w:cs="Cambria"/>
          <w:lang w:val="en-ID"/>
        </w:rPr>
        <w:t>u</w:t>
      </w:r>
      <w:r w:rsidRPr="002C6F3A">
        <w:rPr>
          <w:rFonts w:ascii="Cambria" w:eastAsia="Cambria" w:hAnsi="Cambria" w:cs="Cambria"/>
          <w:lang w:val="en-ID"/>
        </w:rPr>
        <w:t>r process framework (S-O-R) into a single mediated-moderated model</w:t>
      </w:r>
      <w:r>
        <w:rPr>
          <w:rFonts w:ascii="Cambria" w:eastAsia="Cambria" w:hAnsi="Cambria" w:cs="Cambria"/>
          <w:lang w:val="en-ID"/>
        </w:rPr>
        <w:t xml:space="preserve"> </w:t>
      </w:r>
      <w:r w:rsidRPr="002C6F3A">
        <w:rPr>
          <w:rFonts w:ascii="Cambria" w:eastAsia="Cambria" w:hAnsi="Cambria" w:cs="Cambria"/>
          <w:lang w:val="en-ID"/>
        </w:rPr>
        <w:t>responding directly to calls in the literature (e.g., Nogueira et al., 2025; Ribeiro et al., 2025) for more integrative theoretical framing that connects AI adoption antecedents to downstream purchase outcomes, rather than treating AI as an isolated marketing tool. Practically, the findings suggest that businesses seeking to leverage AI to influence purchase decisions should prioritize trust-building and experience quality alongside algorithmic sophistication, particularly in emerging digital-economy markets such as Indonesia, where platform maturity and consumer digital literacy are still developing. For policymakers and platform operators, the persistent role of privacy and ethical concerns as inhibitors underscores the importance of transparent data governance alongside AI-driven personalization.</w:t>
      </w:r>
    </w:p>
    <w:p w14:paraId="3F4C250E" w14:textId="3C5C9A4A" w:rsidR="00E535DC" w:rsidRPr="002C6F3A" w:rsidRDefault="002C6F3A" w:rsidP="002C6F3A">
      <w:pPr>
        <w:pBdr>
          <w:top w:val="nil"/>
          <w:left w:val="nil"/>
          <w:bottom w:val="nil"/>
          <w:right w:val="nil"/>
          <w:between w:val="nil"/>
        </w:pBdr>
        <w:ind w:firstLine="567"/>
        <w:jc w:val="both"/>
        <w:rPr>
          <w:rFonts w:ascii="Cambria" w:eastAsia="Cambria" w:hAnsi="Cambria" w:cs="Cambria"/>
          <w:lang w:val="en-ID"/>
        </w:rPr>
      </w:pPr>
      <w:r w:rsidRPr="002C6F3A">
        <w:rPr>
          <w:rFonts w:ascii="Cambria" w:eastAsia="Cambria" w:hAnsi="Cambria" w:cs="Cambria"/>
          <w:lang w:val="en-ID"/>
        </w:rPr>
        <w:t>This study is not without limitations. As a literature synthesis rather than a primary empirical study, its conclusions rest on secondary findings whose measures, samples, and contexts vary considerably across the reviewed sources, which constrains the precision of any claims about effect size or causal direction. The proposed conceptual model, while theoretically grounded, has not yet been empirically tested. Future research should therefore prioritize quantitative validation of the model</w:t>
      </w:r>
      <w:r>
        <w:rPr>
          <w:rFonts w:ascii="Cambria" w:eastAsia="Cambria" w:hAnsi="Cambria" w:cs="Cambria"/>
          <w:lang w:val="en-ID"/>
        </w:rPr>
        <w:t xml:space="preserve"> </w:t>
      </w:r>
      <w:r w:rsidRPr="002C6F3A">
        <w:rPr>
          <w:rFonts w:ascii="Cambria" w:eastAsia="Cambria" w:hAnsi="Cambria" w:cs="Cambria"/>
          <w:lang w:val="en-ID"/>
        </w:rPr>
        <w:t>particularly via SEM or PLS-SEM</w:t>
      </w:r>
      <w:r>
        <w:rPr>
          <w:rFonts w:ascii="Cambria" w:eastAsia="Cambria" w:hAnsi="Cambria" w:cs="Cambria"/>
          <w:lang w:val="en-ID"/>
        </w:rPr>
        <w:t xml:space="preserve"> </w:t>
      </w:r>
      <w:r w:rsidRPr="002C6F3A">
        <w:rPr>
          <w:rFonts w:ascii="Cambria" w:eastAsia="Cambria" w:hAnsi="Cambria" w:cs="Cambria"/>
          <w:lang w:val="en-ID"/>
        </w:rPr>
        <w:t>in emerging digital-economy contexts such as Indonesia and Southeast Asia, examine the boundary conditions imposed by privacy and ethical concerns more directly, and explore how generational and sectoral differences moderate the strength of the antecedent-mediator-outcome pathway proposed here. Such empirical work would both test and refine the integrative model developed in this study, strengthening its value as a foundation for future research on AI-mediated consumer behavio</w:t>
      </w:r>
      <w:r>
        <w:rPr>
          <w:rFonts w:ascii="Cambria" w:eastAsia="Cambria" w:hAnsi="Cambria" w:cs="Cambria"/>
          <w:lang w:val="en-ID"/>
        </w:rPr>
        <w:t>u</w:t>
      </w:r>
      <w:r w:rsidRPr="002C6F3A">
        <w:rPr>
          <w:rFonts w:ascii="Cambria" w:eastAsia="Cambria" w:hAnsi="Cambria" w:cs="Cambria"/>
          <w:lang w:val="en-ID"/>
        </w:rPr>
        <w:t>r.</w:t>
      </w:r>
      <w:r w:rsidR="00BE34A8" w:rsidRPr="00BE34A8">
        <w:rPr>
          <w:rFonts w:ascii="Cambria" w:eastAsia="Cambria" w:hAnsi="Cambria" w:cs="Cambria"/>
        </w:rPr>
        <w:t xml:space="preserve"> </w:t>
      </w:r>
    </w:p>
    <w:p w14:paraId="29340CD1" w14:textId="77777777" w:rsidR="006F0B23" w:rsidRDefault="006F0B23" w:rsidP="006F0B23">
      <w:pPr>
        <w:pBdr>
          <w:top w:val="nil"/>
          <w:left w:val="nil"/>
          <w:bottom w:val="nil"/>
          <w:right w:val="nil"/>
          <w:between w:val="nil"/>
        </w:pBdr>
        <w:ind w:firstLine="567"/>
        <w:jc w:val="both"/>
        <w:rPr>
          <w:rFonts w:ascii="Cambria" w:eastAsia="Cambria" w:hAnsi="Cambria" w:cs="Cambria"/>
        </w:rPr>
      </w:pPr>
    </w:p>
    <w:p w14:paraId="7F079A9D" w14:textId="77777777" w:rsidR="002C6F3A" w:rsidRDefault="002C6F3A" w:rsidP="006F0B23">
      <w:pPr>
        <w:pBdr>
          <w:top w:val="nil"/>
          <w:left w:val="nil"/>
          <w:bottom w:val="nil"/>
          <w:right w:val="nil"/>
          <w:between w:val="nil"/>
        </w:pBdr>
        <w:ind w:firstLine="567"/>
        <w:jc w:val="both"/>
        <w:rPr>
          <w:rFonts w:ascii="Cambria" w:eastAsia="Cambria" w:hAnsi="Cambria" w:cs="Cambria"/>
        </w:rPr>
      </w:pPr>
    </w:p>
    <w:p w14:paraId="240BDF87" w14:textId="77777777" w:rsidR="002C6F3A" w:rsidRDefault="002C6F3A" w:rsidP="006F0B23">
      <w:pPr>
        <w:pBdr>
          <w:top w:val="nil"/>
          <w:left w:val="nil"/>
          <w:bottom w:val="nil"/>
          <w:right w:val="nil"/>
          <w:between w:val="nil"/>
        </w:pBdr>
        <w:ind w:firstLine="567"/>
        <w:jc w:val="both"/>
        <w:rPr>
          <w:rFonts w:ascii="Cambria" w:eastAsia="Cambria" w:hAnsi="Cambria" w:cs="Cambria"/>
        </w:rPr>
      </w:pPr>
    </w:p>
    <w:p w14:paraId="4F7F3D86" w14:textId="77777777" w:rsidR="002C6F3A" w:rsidRDefault="002C6F3A" w:rsidP="006F0B23">
      <w:pPr>
        <w:pBdr>
          <w:top w:val="nil"/>
          <w:left w:val="nil"/>
          <w:bottom w:val="nil"/>
          <w:right w:val="nil"/>
          <w:between w:val="nil"/>
        </w:pBdr>
        <w:ind w:firstLine="567"/>
        <w:jc w:val="both"/>
        <w:rPr>
          <w:rFonts w:ascii="Cambria" w:eastAsia="Cambria" w:hAnsi="Cambria" w:cs="Cambria"/>
        </w:rPr>
      </w:pPr>
    </w:p>
    <w:p w14:paraId="3A9CB57C" w14:textId="77777777" w:rsidR="002C6F3A" w:rsidRDefault="002C6F3A" w:rsidP="006F0B23">
      <w:pPr>
        <w:pBdr>
          <w:top w:val="nil"/>
          <w:left w:val="nil"/>
          <w:bottom w:val="nil"/>
          <w:right w:val="nil"/>
          <w:between w:val="nil"/>
        </w:pBdr>
        <w:ind w:firstLine="567"/>
        <w:jc w:val="both"/>
        <w:rPr>
          <w:rFonts w:ascii="Cambria" w:eastAsia="Cambria" w:hAnsi="Cambria" w:cs="Cambria"/>
        </w:rPr>
      </w:pPr>
    </w:p>
    <w:p w14:paraId="2E73A9CD" w14:textId="4581D01A" w:rsidR="003B68F7" w:rsidRDefault="00460A81" w:rsidP="006F0B23">
      <w:pPr>
        <w:pBdr>
          <w:top w:val="nil"/>
          <w:left w:val="nil"/>
          <w:bottom w:val="nil"/>
          <w:right w:val="nil"/>
          <w:between w:val="nil"/>
        </w:pBdr>
        <w:jc w:val="both"/>
        <w:rPr>
          <w:rFonts w:ascii="Cambria" w:eastAsia="Cambria" w:hAnsi="Cambria" w:cs="Cambria"/>
          <w:b/>
        </w:rPr>
      </w:pPr>
      <w:r>
        <w:rPr>
          <w:rFonts w:ascii="Cambria" w:eastAsia="Cambria" w:hAnsi="Cambria" w:cs="Cambria"/>
          <w:b/>
        </w:rPr>
        <w:t>REFERENCE</w:t>
      </w:r>
      <w:r w:rsidR="006F0B23">
        <w:rPr>
          <w:rFonts w:ascii="Cambria" w:eastAsia="Cambria" w:hAnsi="Cambria" w:cs="Cambria"/>
          <w:b/>
        </w:rPr>
        <w:t>S</w:t>
      </w:r>
    </w:p>
    <w:p w14:paraId="0A81B4DB"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bookmarkStart w:id="0" w:name="_heading=h.gjdgxs" w:colFirst="0" w:colLast="0"/>
      <w:bookmarkEnd w:id="0"/>
      <w:r w:rsidRPr="00BE34A8">
        <w:rPr>
          <w:rFonts w:ascii="Cambria" w:eastAsia="Cambria" w:hAnsi="Cambria" w:cs="Cambria"/>
        </w:rPr>
        <w:t>Abraham, M., Verteramo Chiu, L., Joshi, E., Ali Ilahi, M., &amp; Pingali, P. (2022). Aggregation models and small farm commercialization – A scoping review of the global literature. Food Policy, 110, 102299. https://doi.org/10.1016/j.foodpol.2022.102299</w:t>
      </w:r>
    </w:p>
    <w:p w14:paraId="2D03D900"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Alfirdaus, L., Manalu, S., Ardianto, H., &amp; Kushandajani. (2021). Community cooperative as self-empowerment: Smallholders palm oil farmers in Kotawaringin Barat, Central Kalimantan, Indonesia. Proceedings of the 5th International Conference on Indonesian Social and Political Enquiries (ICISPE 2020). https://doi.org/10.4108/eai.9-10-2020.2304763</w:t>
      </w:r>
    </w:p>
    <w:p w14:paraId="07A8AB9F"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Alfirdaus, L., Manalu, S., Ardianto, H. T., &amp; Kushandajani. (2022). Self-empowered palm oil small-holder farmers: The case of Tani Subur Cooperative, Kotawaringin Barat, Indonesia. Politika: Jurnal Ilmu Politik, 13(1), 119–130. https://doi.org/10.14710/politika.13.1.2022.119-130</w:t>
      </w:r>
    </w:p>
    <w:p w14:paraId="6CCCA556"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Anas, K., Naping, H., Salman, D., &amp; Tenriawaru, A. N. (2025). Differences in assets, strategies, and livelihood outcomes among oil palm smallholder typologies in West Sulawesi, Indonesia. Sustainability, 17(13), 6064. https://doi.org/10.3390/su17136064</w:t>
      </w:r>
    </w:p>
    <w:p w14:paraId="01EFC563"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Effendi, R., Deny, M., Kurniawan, C. E. M., &amp; Handoko, I. (2025). Policy analysis of the establishment of the Koperasi Desa Merah Putih. RIGGS: Journal of Artificial Intelligence and Digital Business, 4(3). https://doi.org/10.31004/riggs.v4i3.2597</w:t>
      </w:r>
    </w:p>
    <w:p w14:paraId="6674253A"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Grashuis, J. (2025). Determinants of collective action by farm producers: A meta-analysis of the likelihood of co-operative membership. Journal of Rural Studies. https://doi.org/10.1016/j.jrurstud.2025.103639</w:t>
      </w:r>
    </w:p>
    <w:p w14:paraId="10C5201B"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Gunanti, R., Fatah, Z., Haryati, E., &amp; Dwijosusilo, K. (2026). Implementation of the Merah Putih Cooperative Policy to improve community economy in East Kotawaringin Regency. International Journal of Social Science and Humanity, 3(1). https://doi.org/10.62951/ijss.v3i1.687</w:t>
      </w:r>
    </w:p>
    <w:p w14:paraId="756D63DA"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Hartono, N. R., Wahyuni, E. D., &amp; Indriani, N. V. (2025). Village community perceptions of the economic impact of the Merah Putih Cooperative. Journal of Scientific Research, Education, and Technology (JSRET), 4(4). https://doi.org/10.58526/jsret.v4i4.908</w:t>
      </w:r>
    </w:p>
    <w:p w14:paraId="009C9D4F"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Hatmaja, D., Andri, S., Heriyanto, M., &amp; Mayarni. (2024). Pricing of fresh fruit bunches (FFB) from oil palm in Riau Province, Indonesia: Developing a collaborative governance model for sustainable agriculture. International Journal of Religion, 5(2). https://doi.org/10.61707/p51yna78</w:t>
      </w:r>
    </w:p>
    <w:p w14:paraId="134B7D99"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Hatmaja, D., Andri, S., Heriyanto, M., Mayami, &amp; Safitri, S. (2024). Dynamics of collaborative governance of actors in palm oil fresh fruit bunch price setting. E3S Web of Conferences, 506, 03002. https://doi.org/10.1051/e3sconf/202450603002</w:t>
      </w:r>
    </w:p>
    <w:p w14:paraId="521E1C44"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Jelsma, I., Turinah, Gay, F., Ollivier, J., &amp; Rapidel, B. (2024). Collective action, replanting and resilience; Key lessons from 40 years of smallholder oil palm cultivation in the Ophir plantation, Indonesia. Agricultural Systems, 213, 103801. https://doi.org/10.1016/j.agsy.2023.103801</w:t>
      </w:r>
    </w:p>
    <w:p w14:paraId="682F3F32"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Judijanto, L. (2026a). Beyond compliance: Synergistic corporate–cooperative partnerships for equitable welfare of oil palm smallholders. Multitech Journal of Science and Technology, 3(3). https://doi.org/10.59890/mjst.v3i3.186</w:t>
      </w:r>
    </w:p>
    <w:p w14:paraId="77984544"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Judijanto, L. (2026b). From competition to co-opetition: Building synergy between Village-Owned Enterprises (BUMDes) and Koperasi Desa Merah Putih (KDMP) for holistic rural welfare in Indonesia. Global Journal of Economic and Finance Research, 3(5). https://doi.org/10.55677/gjefr/05-2026-vol03e5</w:t>
      </w:r>
    </w:p>
    <w:p w14:paraId="27A63552"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Kannan, P. (2023). Digital monitoring and reporting system of oil palm fresh fruit bunch (FFB) transactions: A case study among sustainable oil palm grower cooperative in Peninsular Malaysia. Oil Palm Industry Economic Journal. https://doi.org/10.21894/opiej.2023.05</w:t>
      </w:r>
    </w:p>
    <w:p w14:paraId="2E5848C2"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Li, T. M. (2024). Securing oil palm smallholder livelihoods without more deforestation in Indonesia. Nature Sustainability, 7, 387–393. https://doi.org/10.1038/s41893-024-01279-w</w:t>
      </w:r>
    </w:p>
    <w:p w14:paraId="0BEBF646"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Rahayu, N., Nugroho, A., &amp; Yusuf, R. (2022). Exclusion of smallholders in the Indonesia palm oil industry. KnE Social Sciences, 7(9). https://doi.org/10.18502/kss.v7i9.11010</w:t>
      </w:r>
    </w:p>
    <w:p w14:paraId="76538CF4"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Renner, S., Ruml, A., Lakemann, T., Nuryartono, N., Tjoa, A., Corre, M. D., &amp; Lay, J. (2024). Smallholder RSPO certification, economic benefits and agrochemical use. Environmental Research Letters, 19(11), 114093. https://doi.org/10.1088/1748-9326/ad8367</w:t>
      </w:r>
    </w:p>
    <w:p w14:paraId="7E536F50"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Ruml, A., Chrisendo, D., Iddrisu, A., Karakara, A. A.-W., Nuryartono, N., Osabuohien, E. S., &amp; Lay, J. (2022). Smallholders in agro-industrial production: Lessons for rural development from a comparative analysis of Ghana's and Indonesia's oil palm sectors. Land Use Policy, 119, 106196. https://doi.org/10.1016/j.landusepol.2022.106196</w:t>
      </w:r>
    </w:p>
    <w:p w14:paraId="61E247DF"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Sarkum, S., &amp; Harahap, A. (2025). Supply chain of fresh fruit bunches from independent oil palm farmers. International Journal of Science and Environment (IJSE), 5(1). https://doi.org/10.51601/ijse.v5i1.146</w:t>
      </w:r>
    </w:p>
    <w:p w14:paraId="40EC20EF"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Syafrizal, R., &amp; Rusmewahni. (2026). Peran Koperasi Desa Kelurahan Merah Putih sebagai penggerak ekonomi berkelanjutan berbasis kearifan lokal. Management And Business Progress, 5(1). https://doi.org/10.70021/mbp.v5i1.323</w:t>
      </w:r>
    </w:p>
    <w:p w14:paraId="3DB85262"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Wang, J., Huo, Y., Guo, X., &amp; Xu, Y. (2022). The pricing strategy of the agricultural product supply chain with farmer cooperatives as the core enterprise. Agriculture, 12(5), 732. https://doi.org/10.3390/agriculture12050732</w:t>
      </w:r>
    </w:p>
    <w:p w14:paraId="633D401B"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Witara, K. (2026). Pendampingan penyusunan rencana bisnis Koperasi Desa Kelurahan (KDKMP) Merah Putih sebagai pilar ekonomi kerakyatan di Kota Denpasar. Karunia: Jurnal Hasil Pengabdian Masyarakat Indonesia, 5(1). https://doi.org/10.58192/karunia.v5i1.4218</w:t>
      </w:r>
    </w:p>
    <w:p w14:paraId="3FD14917"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Witjaksono, J., Yaumidin, U., Djaenudin, D., Astana, S., Harianja, A., Fery, S., Hasibuan, A. M., Khotimah, H., Hidayatina, A., Rusdin, Bungati, Imran, Rusdi, R., &amp; Purba, R. (2023). The assessment of fresh fruit bunches supply chain of palm oil independent smallholder farmers in Southeast Sulawesi. Uncertain Supply Chain Management, 11(4). https://doi.org/10.5267/j.uscm.2023.5.004</w:t>
      </w:r>
    </w:p>
    <w:p w14:paraId="5AEDC5CE" w14:textId="77777777" w:rsidR="00BE34A8" w:rsidRPr="00BE34A8"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Yanita, M., Hamid, E., Alamsyah, Z., Napitupulu, D., Fauzia, G., Herlambang, N., &amp; Effran, E. (2024). The oil palm smallholders corporation model based on local specifications in Jambi Province toward sustainability. IOP Conference Series: Earth and Environmental Science, 1364, 012005. https://doi.org/10.1088/1755-1315/1364/1/012005</w:t>
      </w:r>
    </w:p>
    <w:p w14:paraId="2E73A9D2" w14:textId="6ECA507E" w:rsidR="003B68F7" w:rsidRDefault="00BE34A8" w:rsidP="00BE34A8">
      <w:pPr>
        <w:pBdr>
          <w:top w:val="nil"/>
          <w:left w:val="nil"/>
          <w:bottom w:val="nil"/>
          <w:right w:val="nil"/>
          <w:between w:val="nil"/>
        </w:pBdr>
        <w:ind w:left="567" w:hanging="567"/>
        <w:jc w:val="both"/>
        <w:rPr>
          <w:rFonts w:ascii="Cambria" w:eastAsia="Cambria" w:hAnsi="Cambria" w:cs="Cambria"/>
        </w:rPr>
      </w:pPr>
      <w:r w:rsidRPr="00BE34A8">
        <w:rPr>
          <w:rFonts w:ascii="Cambria" w:eastAsia="Cambria" w:hAnsi="Cambria" w:cs="Cambria"/>
        </w:rPr>
        <w:t>Yanita, M., Wahyuni, I., Fauzia, G., Rahmah, K., Siadari, U., Kurniasih, S., Tanaka, M., &amp; Mukhlis. (2026). Assessing the marketing efficiency of fresh fruit bunch (FFB) of oil palm by independent smallholders. Jurnal Penelitian Pendidikan IPA, 12(5). https://doi.org/10.29303/jppipa.v12i5.14951</w:t>
      </w:r>
    </w:p>
    <w:sectPr w:rsidR="003B68F7" w:rsidSect="00B96187">
      <w:headerReference w:type="even" r:id="rId9"/>
      <w:headerReference w:type="default" r:id="rId10"/>
      <w:footerReference w:type="even" r:id="rId11"/>
      <w:footerReference w:type="default" r:id="rId12"/>
      <w:headerReference w:type="first" r:id="rId13"/>
      <w:footerReference w:type="first" r:id="rId14"/>
      <w:pgSz w:w="11906" w:h="16838"/>
      <w:pgMar w:top="1106" w:right="1440" w:bottom="1440" w:left="1440" w:header="56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1A7D" w14:textId="77777777" w:rsidR="004A0365" w:rsidRDefault="004A0365">
      <w:r>
        <w:separator/>
      </w:r>
    </w:p>
  </w:endnote>
  <w:endnote w:type="continuationSeparator" w:id="0">
    <w:p w14:paraId="4AE7E018" w14:textId="77777777" w:rsidR="004A0365" w:rsidRDefault="004A0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B150B07D-68C4-43F9-AF7D-C39AC84F44D6}"/>
  </w:font>
  <w:font w:name="DengXian Light">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embedRegular r:id="rId2" w:fontKey="{3DDCBA9D-5C9F-4FEC-BC60-E07585C4BA4B}"/>
    <w:embedBold r:id="rId3" w:fontKey="{6076AC64-57B7-4303-8AE1-9D7C8A631C77}"/>
  </w:font>
  <w:font w:name="Franklin Gothic Medium Cond">
    <w:panose1 w:val="020B0606030402020204"/>
    <w:charset w:val="00"/>
    <w:family w:val="swiss"/>
    <w:pitch w:val="variable"/>
    <w:sig w:usb0="00000287" w:usb1="00000000" w:usb2="00000000" w:usb3="00000000" w:csb0="0000009F" w:csb1="00000000"/>
    <w:embedRegular r:id="rId4" w:fontKey="{51465FD0-0CB3-4A1E-85DA-19242C4F7003}"/>
  </w:font>
  <w:font w:name="Calibri">
    <w:panose1 w:val="020F0502020204030204"/>
    <w:charset w:val="00"/>
    <w:family w:val="swiss"/>
    <w:pitch w:val="variable"/>
    <w:sig w:usb0="E4002EFF" w:usb1="C200247B" w:usb2="00000009" w:usb3="00000000" w:csb0="000001FF" w:csb1="00000000"/>
    <w:embedRegular r:id="rId5" w:fontKey="{B68A05D8-160D-4B50-852F-39BCE464495A}"/>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BB4FBA01-6C27-4C1F-A7AF-998E0583E82F}"/>
    <w:embedItalic r:id="rId7" w:fontKey="{4265FB2B-A146-4C63-AD56-101FBFFEAA00}"/>
  </w:font>
  <w:font w:name="Cambria">
    <w:panose1 w:val="02040503050406030204"/>
    <w:charset w:val="00"/>
    <w:family w:val="roman"/>
    <w:pitch w:val="variable"/>
    <w:sig w:usb0="E00006FF" w:usb1="420024FF" w:usb2="02000000" w:usb3="00000000" w:csb0="0000019F" w:csb1="00000000"/>
    <w:embedRegular r:id="rId8" w:fontKey="{3CAD6268-E271-47B4-A67C-38995F5B810E}"/>
    <w:embedBold r:id="rId9" w:fontKey="{C04C5070-0469-42A8-ADC0-B18F64292932}"/>
    <w:embedItalic r:id="rId10" w:fontKey="{97E9CD5D-7EC4-48CB-93C1-59E887238C04}"/>
    <w:embedBoldItalic r:id="rId11" w:fontKey="{1F9E1BF4-C901-4BBE-81BB-7FCEB17BE685}"/>
  </w:font>
  <w:font w:name="Libre Franklin Medium">
    <w:charset w:val="00"/>
    <w:family w:val="auto"/>
    <w:pitch w:val="variable"/>
    <w:sig w:usb0="A00000FF" w:usb1="4000205B" w:usb2="00000000" w:usb3="00000000" w:csb0="00000193" w:csb1="00000000"/>
    <w:embedRegular r:id="rId12" w:fontKey="{AA523640-3F75-4F14-8F20-50D5DFCB7063}"/>
    <w:embedBold r:id="rId13" w:fontKey="{AD21B1B5-3562-458C-AF16-80A42738B5D1}"/>
  </w:font>
  <w:font w:name="Noto Serif">
    <w:charset w:val="00"/>
    <w:family w:val="roman"/>
    <w:pitch w:val="variable"/>
    <w:sig w:usb0="E00002FF" w:usb1="500078FF" w:usb2="00000029" w:usb3="00000000" w:csb0="0000019F" w:csb1="00000000"/>
    <w:embedRegular r:id="rId14" w:fontKey="{CFDF6EE4-68C3-4019-9E6C-564E2F080721}"/>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A9D7" w14:textId="77777777" w:rsidR="003B68F7" w:rsidRDefault="00460A81">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E73A9D8" w14:textId="77777777" w:rsidR="003B68F7" w:rsidRDefault="003B68F7">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A9D9" w14:textId="2D04836E" w:rsidR="003B68F7" w:rsidRDefault="00460A81">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805762">
      <w:rPr>
        <w:noProof/>
        <w:color w:val="000000"/>
      </w:rPr>
      <w:t>2</w:t>
    </w:r>
    <w:r>
      <w:rPr>
        <w:color w:val="000000"/>
      </w:rPr>
      <w:fldChar w:fldCharType="end"/>
    </w:r>
  </w:p>
  <w:p w14:paraId="2E73A9DA" w14:textId="77777777" w:rsidR="003B68F7" w:rsidRDefault="003B68F7">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A9E0" w14:textId="13513254" w:rsidR="003B68F7" w:rsidRDefault="00460A81">
    <w:pPr>
      <w:pBdr>
        <w:top w:val="nil"/>
        <w:left w:val="nil"/>
        <w:bottom w:val="nil"/>
        <w:right w:val="nil"/>
        <w:between w:val="nil"/>
      </w:pBdr>
      <w:tabs>
        <w:tab w:val="center" w:pos="4680"/>
        <w:tab w:val="right" w:pos="9360"/>
      </w:tabs>
      <w:spacing w:line="192" w:lineRule="auto"/>
      <w:ind w:firstLine="851"/>
      <w:jc w:val="right"/>
      <w:rPr>
        <w:color w:val="000000"/>
      </w:rPr>
    </w:pPr>
    <w:r>
      <w:rPr>
        <w:color w:val="000000"/>
      </w:rPr>
      <w:fldChar w:fldCharType="begin"/>
    </w:r>
    <w:r>
      <w:rPr>
        <w:color w:val="000000"/>
      </w:rPr>
      <w:instrText>PAGE</w:instrText>
    </w:r>
    <w:r>
      <w:rPr>
        <w:color w:val="000000"/>
      </w:rPr>
      <w:fldChar w:fldCharType="separate"/>
    </w:r>
    <w:r w:rsidR="00805762">
      <w:rPr>
        <w:noProof/>
        <w:color w:val="000000"/>
      </w:rPr>
      <w:t>1</w:t>
    </w:r>
    <w:r>
      <w:rPr>
        <w:color w:val="000000"/>
      </w:rPr>
      <w:fldChar w:fldCharType="end"/>
    </w:r>
  </w:p>
  <w:p w14:paraId="2E73A9E1" w14:textId="77777777" w:rsidR="003B68F7" w:rsidRDefault="00460A81">
    <w:pPr>
      <w:tabs>
        <w:tab w:val="center" w:pos="4680"/>
        <w:tab w:val="right" w:pos="9360"/>
      </w:tabs>
      <w:rPr>
        <w:sz w:val="16"/>
        <w:szCs w:val="16"/>
      </w:rPr>
    </w:pPr>
    <w:r>
      <w:rPr>
        <w:noProof/>
        <w:sz w:val="16"/>
        <w:szCs w:val="16"/>
      </w:rPr>
      <w:drawing>
        <wp:inline distT="114300" distB="114300" distL="114300" distR="114300" wp14:anchorId="2E73A9EC" wp14:editId="2E73A9ED">
          <wp:extent cx="1062038" cy="376852"/>
          <wp:effectExtent l="0" t="0" r="0" b="0"/>
          <wp:docPr id="9863847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2038" cy="376852"/>
                  </a:xfrm>
                  <a:prstGeom prst="rect">
                    <a:avLst/>
                  </a:prstGeom>
                  <a:ln/>
                </pic:spPr>
              </pic:pic>
            </a:graphicData>
          </a:graphic>
        </wp:inline>
      </w:drawing>
    </w:r>
  </w:p>
  <w:p w14:paraId="2E73A9E2" w14:textId="77777777" w:rsidR="003B68F7" w:rsidRDefault="00460A81">
    <w:pPr>
      <w:tabs>
        <w:tab w:val="center" w:pos="4680"/>
        <w:tab w:val="right" w:pos="9360"/>
      </w:tabs>
      <w:rPr>
        <w:sz w:val="16"/>
        <w:szCs w:val="16"/>
      </w:rPr>
    </w:pPr>
    <w:r>
      <w:rPr>
        <w:sz w:val="16"/>
        <w:szCs w:val="16"/>
      </w:rPr>
      <w:t>Creative Commons Attribution-ShareAlike 4.0 International License:</w:t>
    </w:r>
  </w:p>
  <w:p w14:paraId="2E73A9E3" w14:textId="77777777" w:rsidR="003B68F7" w:rsidRDefault="00460A81">
    <w:pPr>
      <w:tabs>
        <w:tab w:val="center" w:pos="4680"/>
        <w:tab w:val="right" w:pos="9360"/>
      </w:tabs>
      <w:rPr>
        <w:color w:val="1155CC"/>
        <w:sz w:val="16"/>
        <w:szCs w:val="16"/>
        <w:u w:val="single"/>
      </w:rPr>
    </w:pPr>
    <w:hyperlink r:id="rId2">
      <w:r>
        <w:rPr>
          <w:color w:val="1155CC"/>
          <w:sz w:val="16"/>
          <w:szCs w:val="16"/>
          <w:u w:val="single"/>
        </w:rPr>
        <w:t>https://creativecommons.org/licenses/by-sa/4.0/</w:t>
      </w:r>
    </w:hyperlink>
  </w:p>
  <w:p w14:paraId="2E73A9E4" w14:textId="77777777" w:rsidR="003B68F7" w:rsidRDefault="003B68F7">
    <w:pPr>
      <w:pBdr>
        <w:top w:val="nil"/>
        <w:left w:val="nil"/>
        <w:bottom w:val="nil"/>
        <w:right w:val="nil"/>
        <w:between w:val="nil"/>
      </w:pBdr>
      <w:tabs>
        <w:tab w:val="center" w:pos="4680"/>
        <w:tab w:val="right" w:pos="9360"/>
      </w:tabs>
      <w:spacing w:before="240" w:after="240" w:line="120" w:lineRule="auto"/>
      <w:ind w:firstLine="851"/>
    </w:pPr>
  </w:p>
  <w:p w14:paraId="2E73A9E5" w14:textId="77777777" w:rsidR="003B68F7" w:rsidRDefault="003B68F7">
    <w:pPr>
      <w:pBdr>
        <w:top w:val="nil"/>
        <w:left w:val="nil"/>
        <w:bottom w:val="nil"/>
        <w:right w:val="nil"/>
        <w:between w:val="nil"/>
      </w:pBdr>
      <w:tabs>
        <w:tab w:val="center" w:pos="4680"/>
        <w:tab w:val="right" w:pos="9360"/>
      </w:tabs>
      <w:ind w:firstLine="851"/>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6E44F" w14:textId="77777777" w:rsidR="004A0365" w:rsidRDefault="004A0365">
      <w:r>
        <w:separator/>
      </w:r>
    </w:p>
  </w:footnote>
  <w:footnote w:type="continuationSeparator" w:id="0">
    <w:p w14:paraId="71BBF6E4" w14:textId="77777777" w:rsidR="004A0365" w:rsidRDefault="004A0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A9D5" w14:textId="77777777" w:rsidR="003B68F7" w:rsidRDefault="003B68F7">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3A9D6" w14:textId="77777777" w:rsidR="003B68F7" w:rsidRDefault="003B68F7">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3570" w14:textId="77777777" w:rsidR="006F0B23" w:rsidRDefault="006F0B23" w:rsidP="006F0B23">
    <w:pPr>
      <w:pBdr>
        <w:top w:val="nil"/>
        <w:left w:val="nil"/>
        <w:bottom w:val="nil"/>
        <w:right w:val="nil"/>
        <w:between w:val="nil"/>
      </w:pBdr>
      <w:tabs>
        <w:tab w:val="center" w:pos="4680"/>
        <w:tab w:val="right" w:pos="9360"/>
      </w:tabs>
      <w:jc w:val="both"/>
      <w:rPr>
        <w:color w:val="000000"/>
      </w:rPr>
    </w:pPr>
    <w:r>
      <w:rPr>
        <w:color w:val="000000"/>
      </w:rPr>
      <w:t xml:space="preserve">Nomico Journal </w:t>
    </w:r>
    <w:r>
      <w:rPr>
        <w:noProof/>
        <w:lang w:val="en-US" w:eastAsia="en-US"/>
      </w:rPr>
      <w:drawing>
        <wp:anchor distT="0" distB="0" distL="0" distR="0" simplePos="0" relativeHeight="251659264" behindDoc="1" locked="0" layoutInCell="1" hidden="0" allowOverlap="1" wp14:anchorId="18AEF88E" wp14:editId="0B8217B6">
          <wp:simplePos x="0" y="0"/>
          <wp:positionH relativeFrom="column">
            <wp:posOffset>4238625</wp:posOffset>
          </wp:positionH>
          <wp:positionV relativeFrom="paragraph">
            <wp:posOffset>-303528</wp:posOffset>
          </wp:positionV>
          <wp:extent cx="1390650" cy="1390650"/>
          <wp:effectExtent l="0" t="0" r="0" b="0"/>
          <wp:wrapNone/>
          <wp:docPr id="9863847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90650" cy="1390650"/>
                  </a:xfrm>
                  <a:prstGeom prst="rect">
                    <a:avLst/>
                  </a:prstGeom>
                  <a:ln/>
                </pic:spPr>
              </pic:pic>
            </a:graphicData>
          </a:graphic>
        </wp:anchor>
      </w:drawing>
    </w:r>
    <w:r>
      <w:rPr>
        <w:noProof/>
        <w:lang w:val="en-US" w:eastAsia="en-US"/>
      </w:rPr>
      <mc:AlternateContent>
        <mc:Choice Requires="wps">
          <w:drawing>
            <wp:anchor distT="0" distB="0" distL="114300" distR="114300" simplePos="0" relativeHeight="251660288" behindDoc="0" locked="0" layoutInCell="1" hidden="0" allowOverlap="1" wp14:anchorId="18D45678" wp14:editId="2505F9A9">
              <wp:simplePos x="0" y="0"/>
              <wp:positionH relativeFrom="column">
                <wp:posOffset>-12699</wp:posOffset>
              </wp:positionH>
              <wp:positionV relativeFrom="paragraph">
                <wp:posOffset>-50799</wp:posOffset>
              </wp:positionV>
              <wp:extent cx="0" cy="28575"/>
              <wp:effectExtent l="0" t="0" r="0" b="0"/>
              <wp:wrapNone/>
              <wp:docPr id="986384765" name="Straight Arrow Connector 986384765"/>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w:pict>
            <v:shapetype w14:anchorId="7E7928F9" id="_x0000_t32" coordsize="21600,21600" o:spt="32" o:oned="t" path="m,l21600,21600e" filled="f">
              <v:path arrowok="t" fillok="f" o:connecttype="none"/>
              <o:lock v:ext="edit" shapetype="t"/>
            </v:shapetype>
            <v:shape id="Straight Arrow Connector 986384765" o:spid="_x0000_s1026" type="#_x0000_t32" style="position:absolute;margin-left:-1pt;margin-top:-4pt;width:0;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zh0gEAAJYDAAAOAAAAZHJzL2Uyb0RvYy54bWysU02P0zAQvSPxHyzfadJA2yhquoeW5YJg&#10;JeAHzNpOYq2/5DFN++8Zu2XLxwEJbQ7O2J5582bmeXt3soYdVUTtXc+Xi5oz5YSX2o09//b1/k3L&#10;GSZwEox3qudnhfxu9/rVdg6davzkjVSREYjDbg49n1IKXVWhmJQFXPigHF0OPlpItI1jJSPMhG5N&#10;1dT1upp9lCF6oRDp9HC55LuCPwxKpM/DgCox03Pilsoay/qY12q3hW6MECYtrjTgP1hY0I6SPkMd&#10;IAH7HvVfUFaL6NEPaSG8rfwwaKFKDVTNsv6jmi8TBFVqoeZgeG4Tvhys+HTcu4dIbZgDdhgeYq7i&#10;NESb/8SPnXrerOpm09Ikzz1/u2lr+i6NU6fEBDms1u36XbPiTJBHuatuICFi+qC8ZdnoOaYIepzS&#10;3jtH4/FxWRoHx4+YiAYF/gzIDJy/18aUKRnHZuLSrjY5EZBYBgOJTBskwbqx4KA3WuaYHF1kpPYm&#10;siOQAOTTMvOmFL955XwHwOniVK4u5VmdSJxG256Xoq9VTwrkeydZOgdStCNd88wMLWdG0SsgoxBO&#10;oM2//YiNcUTq1v9sPXp5LmMp5zT8Qvsq1KyuX/cl+vacdj8AAAD//wMAUEsDBBQABgAIAAAAIQA8&#10;Yw0m2gAAAAcBAAAPAAAAZHJzL2Rvd25yZXYueG1sTI/NTsMwEITvSLyDtUhcUOu0/KgKcSqECtwq&#10;EfIAbrwkEfE6srdN+vYsXOA0Gs1q9ptiO/tBnTCmPpCB1TIDhdQE11NroP54WWxAJbbk7BAIDZwx&#10;wba8vChs7sJE73iquFVSQim3BjrmMdc6NR16m5ZhRJLsM0RvWWxstYt2knI/6HWWPWhve5IPnR3x&#10;ucPmqzp6A/1qt9/H6W6nzzf1axqr7K3m2pjrq/npERTjzH/H8IMv6FAK0yEcySU1GFisZQqLbkQl&#10;//UH0dt70GWh//OX3wAAAP//AwBQSwECLQAUAAYACAAAACEAtoM4kv4AAADhAQAAEwAAAAAAAAAA&#10;AAAAAAAAAAAAW0NvbnRlbnRfVHlwZXNdLnhtbFBLAQItABQABgAIAAAAIQA4/SH/1gAAAJQBAAAL&#10;AAAAAAAAAAAAAAAAAC8BAABfcmVscy8ucmVsc1BLAQItABQABgAIAAAAIQBMHhzh0gEAAJYDAAAO&#10;AAAAAAAAAAAAAAAAAC4CAABkcnMvZTJvRG9jLnhtbFBLAQItABQABgAIAAAAIQA8Yw0m2gAAAAcB&#10;AAAPAAAAAAAAAAAAAAAAACwEAABkcnMvZG93bnJldi54bWxQSwUGAAAAAAQABADzAAAAMwUAAAAA&#10;" strokecolor="black [3200]" strokeweight="2.25pt">
              <v:stroke startarrowwidth="narrow" startarrowlength="short" endarrowwidth="narrow" endarrowlength="short" joinstyle="miter"/>
            </v:shape>
          </w:pict>
        </mc:Fallback>
      </mc:AlternateContent>
    </w:r>
  </w:p>
  <w:p w14:paraId="7A4EEB3E" w14:textId="77777777" w:rsidR="006F0B23" w:rsidRDefault="006F0B23" w:rsidP="006F0B23">
    <w:pPr>
      <w:pBdr>
        <w:top w:val="nil"/>
        <w:left w:val="nil"/>
        <w:bottom w:val="nil"/>
        <w:right w:val="nil"/>
        <w:between w:val="nil"/>
      </w:pBdr>
      <w:tabs>
        <w:tab w:val="center" w:pos="4680"/>
        <w:tab w:val="right" w:pos="9360"/>
      </w:tabs>
      <w:jc w:val="both"/>
      <w:rPr>
        <w:color w:val="000000"/>
      </w:rPr>
    </w:pPr>
    <w:r>
      <w:rPr>
        <w:color w:val="000000"/>
      </w:rPr>
      <w:t xml:space="preserve">E-ISSN : </w:t>
    </w:r>
    <w:r>
      <w:rPr>
        <w:rFonts w:ascii="Noto Serif" w:eastAsia="Noto Serif" w:hAnsi="Noto Serif" w:cs="Noto Serif"/>
        <w:color w:val="000000"/>
        <w:sz w:val="21"/>
        <w:szCs w:val="21"/>
        <w:highlight w:val="white"/>
      </w:rPr>
      <w:t>3046-6318</w:t>
    </w:r>
  </w:p>
  <w:p w14:paraId="40A39665" w14:textId="77777777" w:rsidR="006F0B23" w:rsidRDefault="006F0B23" w:rsidP="006F0B23">
    <w:pPr>
      <w:pBdr>
        <w:top w:val="nil"/>
        <w:left w:val="nil"/>
        <w:bottom w:val="nil"/>
        <w:right w:val="nil"/>
        <w:between w:val="nil"/>
      </w:pBdr>
      <w:tabs>
        <w:tab w:val="center" w:pos="4680"/>
        <w:tab w:val="right" w:pos="9360"/>
      </w:tabs>
      <w:jc w:val="both"/>
    </w:pPr>
    <w:hyperlink r:id="rId2" w:history="1">
      <w:r w:rsidRPr="00B95071">
        <w:rPr>
          <w:rStyle w:val="Hyperlink"/>
        </w:rPr>
        <w:t>https://ejournal-nawalaedu.com/index.php/nj</w:t>
      </w:r>
    </w:hyperlink>
  </w:p>
  <w:p w14:paraId="5ECD77AE" w14:textId="21ACF4EB" w:rsidR="006F0B23" w:rsidRDefault="00CA2F73" w:rsidP="006F0B23">
    <w:pPr>
      <w:pBdr>
        <w:top w:val="nil"/>
        <w:left w:val="nil"/>
        <w:bottom w:val="nil"/>
        <w:right w:val="nil"/>
        <w:between w:val="nil"/>
      </w:pBdr>
      <w:tabs>
        <w:tab w:val="center" w:pos="4680"/>
        <w:tab w:val="right" w:pos="9360"/>
      </w:tabs>
      <w:jc w:val="both"/>
      <w:rPr>
        <w:color w:val="000000"/>
      </w:rPr>
    </w:pPr>
    <w:r w:rsidRPr="00B10283">
      <w:rPr>
        <w:color w:val="000000"/>
      </w:rPr>
      <w:t xml:space="preserve">Vol. 3 No. 7 (2026): Nomico </w:t>
    </w:r>
    <w:r>
      <w:rPr>
        <w:color w:val="000000"/>
      </w:rPr>
      <w:t>–</w:t>
    </w:r>
    <w:r w:rsidRPr="00B10283">
      <w:rPr>
        <w:color w:val="000000"/>
      </w:rPr>
      <w:t xml:space="preserve"> August</w:t>
    </w:r>
  </w:p>
  <w:p w14:paraId="4B582819" w14:textId="060C696A" w:rsidR="00952612" w:rsidRDefault="006F0B23" w:rsidP="006F0B23">
    <w:pPr>
      <w:pBdr>
        <w:top w:val="nil"/>
        <w:left w:val="nil"/>
        <w:bottom w:val="nil"/>
        <w:right w:val="nil"/>
        <w:between w:val="nil"/>
      </w:pBdr>
      <w:tabs>
        <w:tab w:val="center" w:pos="4680"/>
        <w:tab w:val="right" w:pos="9360"/>
      </w:tabs>
      <w:jc w:val="both"/>
    </w:pPr>
    <w:r>
      <w:rPr>
        <w:color w:val="000000"/>
      </w:rPr>
      <w:t xml:space="preserve">DOI : </w:t>
    </w:r>
    <w:hyperlink r:id="rId3" w:history="1">
      <w:r w:rsidR="00952612" w:rsidRPr="00752C5D">
        <w:rPr>
          <w:rStyle w:val="Hyperlink"/>
        </w:rPr>
        <w:t>https://doi.org/10.62872/b3nhay59</w:t>
      </w:r>
    </w:hyperlink>
  </w:p>
  <w:p w14:paraId="2DA471D0" w14:textId="736C01EA" w:rsidR="006F0B23" w:rsidRDefault="006F0B23" w:rsidP="006F0B23">
    <w:pPr>
      <w:pBdr>
        <w:top w:val="nil"/>
        <w:left w:val="nil"/>
        <w:bottom w:val="nil"/>
        <w:right w:val="nil"/>
        <w:between w:val="nil"/>
      </w:pBdr>
      <w:tabs>
        <w:tab w:val="center" w:pos="4680"/>
        <w:tab w:val="right" w:pos="9360"/>
      </w:tabs>
      <w:jc w:val="both"/>
      <w:rPr>
        <w:color w:val="000000"/>
      </w:rPr>
    </w:pPr>
    <w:r>
      <w:rPr>
        <w:noProof/>
        <w:lang w:val="en-US" w:eastAsia="en-US"/>
      </w:rPr>
      <mc:AlternateContent>
        <mc:Choice Requires="wps">
          <w:drawing>
            <wp:anchor distT="0" distB="0" distL="114300" distR="114300" simplePos="0" relativeHeight="251661312" behindDoc="0" locked="0" layoutInCell="1" hidden="0" allowOverlap="1" wp14:anchorId="7147877B" wp14:editId="602577A3">
              <wp:simplePos x="0" y="0"/>
              <wp:positionH relativeFrom="column">
                <wp:posOffset>-12699</wp:posOffset>
              </wp:positionH>
              <wp:positionV relativeFrom="paragraph">
                <wp:posOffset>127000</wp:posOffset>
              </wp:positionV>
              <wp:extent cx="0" cy="28575"/>
              <wp:effectExtent l="0" t="0" r="0" b="0"/>
              <wp:wrapNone/>
              <wp:docPr id="986384766" name="Straight Arrow Connector 986384766"/>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w:pict>
            <v:shape w14:anchorId="33F7C311" id="Straight Arrow Connector 986384766" o:spid="_x0000_s1026" type="#_x0000_t32" style="position:absolute;margin-left:-1pt;margin-top:10pt;width:0;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zh0gEAAJYDAAAOAAAAZHJzL2Uyb0RvYy54bWysU02P0zAQvSPxHyzfadJA2yhquoeW5YJg&#10;JeAHzNpOYq2/5DFN++8Zu2XLxwEJbQ7O2J5582bmeXt3soYdVUTtXc+Xi5oz5YSX2o09//b1/k3L&#10;GSZwEox3qudnhfxu9/rVdg6davzkjVSREYjDbg49n1IKXVWhmJQFXPigHF0OPlpItI1jJSPMhG5N&#10;1dT1upp9lCF6oRDp9HC55LuCPwxKpM/DgCox03Pilsoay/qY12q3hW6MECYtrjTgP1hY0I6SPkMd&#10;IAH7HvVfUFaL6NEPaSG8rfwwaKFKDVTNsv6jmi8TBFVqoeZgeG4Tvhys+HTcu4dIbZgDdhgeYq7i&#10;NESb/8SPnXrerOpm09Ikzz1/u2lr+i6NU6fEBDms1u36XbPiTJBHuatuICFi+qC8ZdnoOaYIepzS&#10;3jtH4/FxWRoHx4+YiAYF/gzIDJy/18aUKRnHZuLSrjY5EZBYBgOJTBskwbqx4KA3WuaYHF1kpPYm&#10;siOQAOTTMvOmFL955XwHwOniVK4u5VmdSJxG256Xoq9VTwrkeydZOgdStCNd88wMLWdG0SsgoxBO&#10;oM2//YiNcUTq1v9sPXp5LmMp5zT8Qvsq1KyuX/cl+vacdj8AAAD//wMAUEsDBBQABgAIAAAAIQBf&#10;cbA62QAAAAcBAAAPAAAAZHJzL2Rvd25yZXYueG1sTI/RSsNAEEXfBf9hGcEXaTctVSRmU0SqvhVM&#10;8wHT7JgEs7Nhd9ukf+/oiz4e7nDvmWI7u0GdKcTes4HVMgNF3Hjbc2ugPrwuHkHFhGxx8EwGLhRh&#10;W15fFZhbP/EHnavUKinhmKOBLqUx1zo2HTmMSz8SS/bpg8MkGFptA05S7ga9zrIH7bBnWehwpJeO&#10;mq/q5Az0q91+H6bNTl/u6rc4Vtl7nWpjbm/m5ydQieb0dww/+qIOpTgd/YltVIOBxVpeSQZkBZTk&#10;v3wU3tyDLgv937/8BgAA//8DAFBLAQItABQABgAIAAAAIQC2gziS/gAAAOEBAAATAAAAAAAAAAAA&#10;AAAAAAAAAABbQ29udGVudF9UeXBlc10ueG1sUEsBAi0AFAAGAAgAAAAhADj9If/WAAAAlAEAAAsA&#10;AAAAAAAAAAAAAAAALwEAAF9yZWxzLy5yZWxzUEsBAi0AFAAGAAgAAAAhAEweHOHSAQAAlgMAAA4A&#10;AAAAAAAAAAAAAAAALgIAAGRycy9lMm9Eb2MueG1sUEsBAi0AFAAGAAgAAAAhAF9xsDrZAAAABwEA&#10;AA8AAAAAAAAAAAAAAAAALAQAAGRycy9kb3ducmV2LnhtbFBLBQYAAAAABAAEAPMAAAAyBQAAAAA=&#10;" strokecolor="black [3200]" strokeweight="2.25pt">
              <v:stroke startarrowwidth="narrow" startarrowlength="short" endarrowwidth="narrow" endarrowlength="short" joinstyle="miter"/>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8F7"/>
    <w:rsid w:val="00033953"/>
    <w:rsid w:val="000941FD"/>
    <w:rsid w:val="000C2F37"/>
    <w:rsid w:val="000E4EB6"/>
    <w:rsid w:val="00105518"/>
    <w:rsid w:val="001317AD"/>
    <w:rsid w:val="001319AE"/>
    <w:rsid w:val="00146EB0"/>
    <w:rsid w:val="0015040A"/>
    <w:rsid w:val="00161DFE"/>
    <w:rsid w:val="0017204B"/>
    <w:rsid w:val="001A4D99"/>
    <w:rsid w:val="001B6426"/>
    <w:rsid w:val="001B722D"/>
    <w:rsid w:val="001F6E2A"/>
    <w:rsid w:val="0029261E"/>
    <w:rsid w:val="002C6F3A"/>
    <w:rsid w:val="002C769D"/>
    <w:rsid w:val="002F7B06"/>
    <w:rsid w:val="0033059F"/>
    <w:rsid w:val="00356F14"/>
    <w:rsid w:val="00367114"/>
    <w:rsid w:val="00370E05"/>
    <w:rsid w:val="003B68F7"/>
    <w:rsid w:val="003E5E33"/>
    <w:rsid w:val="00460A81"/>
    <w:rsid w:val="004A0365"/>
    <w:rsid w:val="00516B32"/>
    <w:rsid w:val="005A2B11"/>
    <w:rsid w:val="005B4D8A"/>
    <w:rsid w:val="005C6E27"/>
    <w:rsid w:val="00674B70"/>
    <w:rsid w:val="006A1C0C"/>
    <w:rsid w:val="006D3C99"/>
    <w:rsid w:val="006F0B23"/>
    <w:rsid w:val="006F33AE"/>
    <w:rsid w:val="007136B3"/>
    <w:rsid w:val="0075109D"/>
    <w:rsid w:val="0075382C"/>
    <w:rsid w:val="007623F6"/>
    <w:rsid w:val="00766C5E"/>
    <w:rsid w:val="00773426"/>
    <w:rsid w:val="00797124"/>
    <w:rsid w:val="007D4BB4"/>
    <w:rsid w:val="00805762"/>
    <w:rsid w:val="00822F41"/>
    <w:rsid w:val="00846001"/>
    <w:rsid w:val="00883B49"/>
    <w:rsid w:val="0090500A"/>
    <w:rsid w:val="00952612"/>
    <w:rsid w:val="00974E3D"/>
    <w:rsid w:val="009B6B68"/>
    <w:rsid w:val="009E0376"/>
    <w:rsid w:val="00A10AD9"/>
    <w:rsid w:val="00A15057"/>
    <w:rsid w:val="00A213C8"/>
    <w:rsid w:val="00A6023C"/>
    <w:rsid w:val="00A75F8C"/>
    <w:rsid w:val="00AD107C"/>
    <w:rsid w:val="00AE16C6"/>
    <w:rsid w:val="00AF7925"/>
    <w:rsid w:val="00B260CE"/>
    <w:rsid w:val="00B32CB1"/>
    <w:rsid w:val="00B32D62"/>
    <w:rsid w:val="00B57763"/>
    <w:rsid w:val="00B623BF"/>
    <w:rsid w:val="00B6544A"/>
    <w:rsid w:val="00B96187"/>
    <w:rsid w:val="00B967AC"/>
    <w:rsid w:val="00BD6F0B"/>
    <w:rsid w:val="00BE34A8"/>
    <w:rsid w:val="00C25D8B"/>
    <w:rsid w:val="00C677D3"/>
    <w:rsid w:val="00CA2F73"/>
    <w:rsid w:val="00CF51AC"/>
    <w:rsid w:val="00D507B7"/>
    <w:rsid w:val="00DA4EE6"/>
    <w:rsid w:val="00E535DC"/>
    <w:rsid w:val="00F13AEB"/>
    <w:rsid w:val="00F15F44"/>
    <w:rsid w:val="00F8315F"/>
    <w:rsid w:val="00FA44D1"/>
    <w:rsid w:val="00FA57ED"/>
    <w:rsid w:val="00FB65A1"/>
    <w:rsid w:val="00FE6D4F"/>
    <w:rsid w:val="00FF629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3A98B"/>
  <w15:docId w15:val="{D4F0FA62-B898-46AD-9048-C61BE317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F0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arlianigusti9@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doi.org/10.62872/b3nhay59" TargetMode="External"/><Relationship Id="rId2" Type="http://schemas.openxmlformats.org/officeDocument/2006/relationships/hyperlink" Target="https://ejournal-nawalaedu.com/index.php/nj"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2dgybNlwlTtX47PrjEPyrXbaDQ==">CgMxLjAyCGguZ2pkZ3hzOAByITF6b1FucnI3ZzgzUTE4OEU2VEtuLUlSOTZhaXNiRDhvaw==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5386</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ASUS NOTEBOOK</cp:lastModifiedBy>
  <cp:revision>9</cp:revision>
  <dcterms:created xsi:type="dcterms:W3CDTF">2026-08-20T08:33:00Z</dcterms:created>
  <dcterms:modified xsi:type="dcterms:W3CDTF">2026-08-24T09:22:00Z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