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75C2" w14:textId="6514C416" w:rsidR="00844FC4" w:rsidRPr="003A7BCD" w:rsidRDefault="007D0290" w:rsidP="00A431BD">
      <w:pPr>
        <w:rPr>
          <w:rFonts w:ascii="Cambria" w:eastAsia="Cambria" w:hAnsi="Cambria" w:cs="Cambria"/>
          <w:b/>
          <w:sz w:val="28"/>
          <w:szCs w:val="28"/>
          <w:lang w:val="en-US"/>
        </w:rPr>
      </w:pPr>
      <w:r w:rsidRPr="007D0290">
        <w:rPr>
          <w:rFonts w:ascii="Cambria" w:eastAsia="Cambria" w:hAnsi="Cambria" w:cs="Cambria"/>
          <w:b/>
          <w:sz w:val="28"/>
          <w:szCs w:val="28"/>
        </w:rPr>
        <w:t>International Accounting Standards Convergence and Its Impact on the Quality of Financial Reporting</w:t>
      </w:r>
    </w:p>
    <w:p w14:paraId="0D798DC3" w14:textId="77777777" w:rsidR="00E37FE4" w:rsidRDefault="00E37FE4">
      <w:pPr>
        <w:rPr>
          <w:rFonts w:ascii="Cambria" w:eastAsia="Cambria" w:hAnsi="Cambria" w:cs="Cambria"/>
          <w:b/>
          <w:sz w:val="28"/>
          <w:szCs w:val="28"/>
        </w:rPr>
      </w:pPr>
    </w:p>
    <w:p w14:paraId="0EE51F60" w14:textId="77777777" w:rsidR="00A431BD" w:rsidRDefault="00A431BD">
      <w:pPr>
        <w:jc w:val="center"/>
        <w:rPr>
          <w:rFonts w:ascii="Cambria" w:eastAsia="Cambria" w:hAnsi="Cambria" w:cs="Cambria"/>
          <w:b/>
          <w:sz w:val="20"/>
          <w:szCs w:val="20"/>
        </w:rPr>
      </w:pPr>
    </w:p>
    <w:p w14:paraId="43268FB8" w14:textId="311BB46A" w:rsidR="004069F7" w:rsidRDefault="00E008BF">
      <w:pPr>
        <w:jc w:val="center"/>
        <w:rPr>
          <w:rFonts w:ascii="Cambria" w:eastAsia="Cambria" w:hAnsi="Cambria" w:cs="Cambria"/>
          <w:b/>
          <w:sz w:val="20"/>
          <w:szCs w:val="20"/>
        </w:rPr>
      </w:pPr>
      <w:r>
        <w:rPr>
          <w:rFonts w:ascii="Cambria" w:eastAsia="Cambria" w:hAnsi="Cambria" w:cs="Cambria"/>
          <w:b/>
          <w:sz w:val="20"/>
          <w:szCs w:val="20"/>
        </w:rPr>
        <w:t>ABSTRACT</w:t>
      </w:r>
    </w:p>
    <w:p w14:paraId="39645D70" w14:textId="77777777" w:rsidR="004069F7" w:rsidRDefault="004069F7">
      <w:pPr>
        <w:jc w:val="center"/>
        <w:rPr>
          <w:rFonts w:ascii="Cambria" w:eastAsia="Cambria" w:hAnsi="Cambria" w:cs="Cambria"/>
          <w:b/>
          <w:sz w:val="20"/>
          <w:szCs w:val="20"/>
        </w:rPr>
      </w:pPr>
    </w:p>
    <w:p w14:paraId="5A615220" w14:textId="77777777" w:rsidR="00AE6438" w:rsidRDefault="002B1FEE" w:rsidP="002B1FEE">
      <w:pPr>
        <w:jc w:val="both"/>
        <w:rPr>
          <w:rFonts w:ascii="Cambria" w:eastAsia="Cambria" w:hAnsi="Cambria" w:cs="Cambria"/>
          <w:i/>
          <w:sz w:val="20"/>
          <w:szCs w:val="20"/>
        </w:rPr>
      </w:pPr>
      <w:r w:rsidRPr="002B1FEE">
        <w:rPr>
          <w:rFonts w:ascii="Cambria" w:eastAsia="Cambria" w:hAnsi="Cambria" w:cs="Cambria"/>
          <w:i/>
          <w:sz w:val="20"/>
          <w:szCs w:val="20"/>
        </w:rPr>
        <w:t>The globalization of capital markets has increased the need for harmonized financial reporting standards that allow financial information to be comparable across countries. The convergence of national accounting standards with International Financial Reporting Standards (IFRS) has emerged as a global response to these challenges, aiming to improve the transparency, comparability, and credibility of financial statements. However, empirical findings indicate that the impact of IFRS convergence on financial reporting quality is not always consistent across different institutional contexts. This study aims to analyze how the convergence of international accounting standards influences the quality of financial reporting in the context of global financial reporting practices. The research employs a qualitative approach using a systematic literature review of accredited academic journal articles related to IFRS adoption and financial reporting quality. Data were collected from relevant scholarly publications and analyzed using qualitative content analysis and conceptual synthesis techniques. The findings indicate that IFRS convergence generally improves financial reporting quality by enhancing disclosure transparency, reducing earnings management, and increasing the value relevance of accounting information. Nevertheless, the effectiveness of IFRS implementation is strongly influenced by institutional factors such as regulatory enforcement, governance quality, and professional capacity. The study concludes that although IFRS convergence contributes to improving financial reporting quality, its impact varies across countries, highlighting the importance of institutional readiness and continued evaluation of accounting harmonization policies.</w:t>
      </w:r>
    </w:p>
    <w:p w14:paraId="6298778E" w14:textId="60394A09" w:rsidR="004069F7" w:rsidRDefault="006C0AD6" w:rsidP="002B1FEE">
      <w:pPr>
        <w:jc w:val="both"/>
        <w:rPr>
          <w:rFonts w:ascii="Cambria" w:eastAsia="Cambria" w:hAnsi="Cambria" w:cs="Cambria"/>
          <w:i/>
          <w:sz w:val="20"/>
          <w:szCs w:val="20"/>
        </w:rPr>
      </w:pPr>
      <w:r>
        <w:rPr>
          <w:rFonts w:ascii="Cambria" w:eastAsia="Cambria" w:hAnsi="Cambria" w:cs="Cambria"/>
          <w:b/>
          <w:i/>
          <w:sz w:val="20"/>
          <w:szCs w:val="20"/>
        </w:rPr>
        <w:t>Keywords:</w:t>
      </w:r>
      <w:r w:rsidR="005A700C">
        <w:rPr>
          <w:rFonts w:ascii="Cambria" w:eastAsia="Cambria" w:hAnsi="Cambria" w:cs="Cambria"/>
          <w:b/>
          <w:i/>
          <w:sz w:val="20"/>
          <w:szCs w:val="20"/>
          <w:lang w:val="en-US"/>
        </w:rPr>
        <w:t xml:space="preserve"> </w:t>
      </w:r>
    </w:p>
    <w:p w14:paraId="0E2F6BF0" w14:textId="77777777" w:rsidR="002B1FEE" w:rsidRDefault="002B1FEE" w:rsidP="002B1FEE">
      <w:pPr>
        <w:jc w:val="both"/>
        <w:rPr>
          <w:rFonts w:ascii="Cambria" w:eastAsia="Cambria" w:hAnsi="Cambria" w:cs="Cambria"/>
          <w:b/>
          <w:color w:val="ED7D31"/>
        </w:rPr>
      </w:pPr>
    </w:p>
    <w:p w14:paraId="4C4C9880" w14:textId="77777777" w:rsidR="004069F7" w:rsidRDefault="00E008BF">
      <w:pPr>
        <w:rPr>
          <w:rFonts w:ascii="Cambria" w:eastAsia="Cambria" w:hAnsi="Cambria" w:cs="Cambria"/>
          <w:b/>
        </w:rPr>
      </w:pPr>
      <w:r>
        <w:rPr>
          <w:rFonts w:ascii="Cambria" w:eastAsia="Cambria" w:hAnsi="Cambria" w:cs="Cambria"/>
          <w:b/>
        </w:rPr>
        <w:t xml:space="preserve">INTRODUCTION </w:t>
      </w:r>
      <w:r>
        <w:rPr>
          <w:rFonts w:ascii="Cambria" w:eastAsia="Cambria" w:hAnsi="Cambria" w:cs="Cambria"/>
          <w:b/>
        </w:rPr>
        <w:tab/>
      </w:r>
    </w:p>
    <w:p w14:paraId="318336D3"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The rapid expansion of global capital markets and the increasing integration of international investment flows have significantly transformed the landscape of financial reporting. In an era characterized by cross-border economic activities, multinational corporations, and global investors, the need for a standardized financial reporting framework has become increasingly important. Differences in national accounting standards historically created substantial barriers to the comparability and transparency of financial information across countries. Investors, regulators, and financial analysts often faced difficulties in interpreting financial statements prepared under different national accounting systems. Consequently, the development and adoption of International Financial Reporting Standards (IFRS) have emerged as a global response to these challenges. IFRS aims to provide a common financial reporting language that enhances the comparability, reliability, and transparency of financial information across jurisdictions. As global financial markets become more interconnected, the convergence of national accounting standards with IFRS has become a strategic initiative adopted by many countries to improve the quality of financial reporting and facilitate cross-border investment activities (</w:t>
      </w:r>
      <w:proofErr w:type="spellStart"/>
      <w:r w:rsidRPr="00D11066">
        <w:rPr>
          <w:rFonts w:ascii="Cambria" w:eastAsia="Cambria" w:hAnsi="Cambria" w:cs="Cambria"/>
          <w:lang w:val="en-US"/>
        </w:rPr>
        <w:t>Syahrani</w:t>
      </w:r>
      <w:proofErr w:type="spellEnd"/>
      <w:r w:rsidRPr="00D11066">
        <w:rPr>
          <w:rFonts w:ascii="Cambria" w:eastAsia="Cambria" w:hAnsi="Cambria" w:cs="Cambria"/>
          <w:lang w:val="en-US"/>
        </w:rPr>
        <w:t xml:space="preserve"> et al., 2025; </w:t>
      </w:r>
      <w:proofErr w:type="spellStart"/>
      <w:r w:rsidRPr="00D11066">
        <w:rPr>
          <w:rFonts w:ascii="Cambria" w:eastAsia="Cambria" w:hAnsi="Cambria" w:cs="Cambria"/>
          <w:lang w:val="en-US"/>
        </w:rPr>
        <w:t>Holovina</w:t>
      </w:r>
      <w:proofErr w:type="spellEnd"/>
      <w:r w:rsidRPr="00D11066">
        <w:rPr>
          <w:rFonts w:ascii="Cambria" w:eastAsia="Cambria" w:hAnsi="Cambria" w:cs="Cambria"/>
          <w:lang w:val="en-US"/>
        </w:rPr>
        <w:t xml:space="preserve"> et al., 2022; Ilakkiya, 2024).</w:t>
      </w:r>
    </w:p>
    <w:p w14:paraId="11DB0BB4"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 xml:space="preserve">The global diffusion of IFRS reflects a broader movement toward accounting harmonization in response to economic globalization. Over the past two decades, IFRS has evolved into the dominant international accounting framework, adopted or converged with by the majority of countries around the world. Only a relatively small number of jurisdictions continue to rely solely on domestic accounting standards without </w:t>
      </w:r>
      <w:r w:rsidRPr="00D11066">
        <w:rPr>
          <w:rFonts w:ascii="Cambria" w:eastAsia="Cambria" w:hAnsi="Cambria" w:cs="Cambria"/>
          <w:lang w:val="en-US"/>
        </w:rPr>
        <w:lastRenderedPageBreak/>
        <w:t>incorporating IFRS principles (</w:t>
      </w:r>
      <w:proofErr w:type="spellStart"/>
      <w:r w:rsidRPr="00D11066">
        <w:rPr>
          <w:rFonts w:ascii="Cambria" w:eastAsia="Cambria" w:hAnsi="Cambria" w:cs="Cambria"/>
          <w:lang w:val="en-US"/>
        </w:rPr>
        <w:t>Holovina</w:t>
      </w:r>
      <w:proofErr w:type="spellEnd"/>
      <w:r w:rsidRPr="00D11066">
        <w:rPr>
          <w:rFonts w:ascii="Cambria" w:eastAsia="Cambria" w:hAnsi="Cambria" w:cs="Cambria"/>
          <w:lang w:val="en-US"/>
        </w:rPr>
        <w:t xml:space="preserve"> et al., 2022; </w:t>
      </w:r>
      <w:proofErr w:type="spellStart"/>
      <w:r w:rsidRPr="00D11066">
        <w:rPr>
          <w:rFonts w:ascii="Cambria" w:eastAsia="Cambria" w:hAnsi="Cambria" w:cs="Cambria"/>
          <w:lang w:val="en-US"/>
        </w:rPr>
        <w:t>Imamova</w:t>
      </w:r>
      <w:proofErr w:type="spellEnd"/>
      <w:r w:rsidRPr="00D11066">
        <w:rPr>
          <w:rFonts w:ascii="Cambria" w:eastAsia="Cambria" w:hAnsi="Cambria" w:cs="Cambria"/>
          <w:lang w:val="en-US"/>
        </w:rPr>
        <w:t>, 2025). The harmonization of accounting standards is expected to generate several important benefits for global financial markets. First, the adoption of a common set of accounting standards improves the comparability of financial statements across countries, allowing investors to make more informed decisions when allocating capital internationally. Second, standardized financial reporting enhances transparency and accountability by reducing the possibility of financial manipulation and improving the clarity of corporate disclosures. Third, accounting harmonization simplifies financial reporting for multinational corporations operating in multiple jurisdictions by reducing the need to prepare financial statements under multiple accounting regimes (</w:t>
      </w:r>
      <w:proofErr w:type="spellStart"/>
      <w:r w:rsidRPr="00D11066">
        <w:rPr>
          <w:rFonts w:ascii="Cambria" w:eastAsia="Cambria" w:hAnsi="Cambria" w:cs="Cambria"/>
          <w:lang w:val="en-US"/>
        </w:rPr>
        <w:t>Lawalata</w:t>
      </w:r>
      <w:proofErr w:type="spellEnd"/>
      <w:r w:rsidRPr="00D11066">
        <w:rPr>
          <w:rFonts w:ascii="Cambria" w:eastAsia="Cambria" w:hAnsi="Cambria" w:cs="Cambria"/>
          <w:lang w:val="en-US"/>
        </w:rPr>
        <w:t xml:space="preserve"> &amp; Salle, 2024; </w:t>
      </w:r>
      <w:proofErr w:type="spellStart"/>
      <w:r w:rsidRPr="00D11066">
        <w:rPr>
          <w:rFonts w:ascii="Cambria" w:eastAsia="Cambria" w:hAnsi="Cambria" w:cs="Cambria"/>
          <w:lang w:val="en-US"/>
        </w:rPr>
        <w:t>Šuvakov</w:t>
      </w:r>
      <w:proofErr w:type="spellEnd"/>
      <w:r w:rsidRPr="00D11066">
        <w:rPr>
          <w:rFonts w:ascii="Cambria" w:eastAsia="Cambria" w:hAnsi="Cambria" w:cs="Cambria"/>
          <w:lang w:val="en-US"/>
        </w:rPr>
        <w:t xml:space="preserve"> &amp; Sekicki, 2025; Ilakkiya, 2024; </w:t>
      </w:r>
      <w:proofErr w:type="spellStart"/>
      <w:r w:rsidRPr="00D11066">
        <w:rPr>
          <w:rFonts w:ascii="Cambria" w:eastAsia="Cambria" w:hAnsi="Cambria" w:cs="Cambria"/>
          <w:lang w:val="en-US"/>
        </w:rPr>
        <w:t>Hehanussa</w:t>
      </w:r>
      <w:proofErr w:type="spellEnd"/>
      <w:r w:rsidRPr="00D11066">
        <w:rPr>
          <w:rFonts w:ascii="Cambria" w:eastAsia="Cambria" w:hAnsi="Cambria" w:cs="Cambria"/>
          <w:lang w:val="en-US"/>
        </w:rPr>
        <w:t>, 2025).</w:t>
      </w:r>
    </w:p>
    <w:p w14:paraId="1B5CC412"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In addition to improving transparency and comparability, the convergence of national accounting standards with IFRS is also expected to facilitate the efficient functioning of global capital markets. By providing a consistent reporting framework, IFRS helps reduce information asymmetry between corporate managers and external stakeholders. Investors are better able to evaluate the financial performance and risk profiles of companies when financial statements are prepared using consistent accounting principles. Furthermore, the adoption of IFRS has been associated with increased cross-border investment activities, mergers and acquisitions, and the integration of international capital markets. Standardized financial reporting reduces the costs associated with reconciling different accounting systems and improves the efficiency of capital allocation at the global level (Ilakkiya, 2024; Mohan &amp; Tambe, 2025). These developments highlight the importance of accounting harmonization as a mechanism for enhancing the credibility and functionality of modern financial markets.</w:t>
      </w:r>
    </w:p>
    <w:p w14:paraId="50DAAB8C"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Despite these potential benefits, the implementation of IFRS convergence has not been without challenges. The process of adopting international accounting standards often requires substantial adjustments to national regulatory frameworks, corporate governance structures, and professional accounting practices. Many countries face institutional and structural constraints that complicate the implementation of IFRS, particularly in developing economies. Differences in legal systems, regulatory enforcement mechanisms, cultural norms, and levels of professional expertise can significantly influence how international accounting standards are interpreted and applied. Furthermore, the transition to IFRS may impose considerable financial and operational costs on organizations, particularly small and medium-sized enterprises that lack the resources required to implement complex accounting standards (</w:t>
      </w:r>
      <w:proofErr w:type="spellStart"/>
      <w:r w:rsidRPr="00D11066">
        <w:rPr>
          <w:rFonts w:ascii="Cambria" w:eastAsia="Cambria" w:hAnsi="Cambria" w:cs="Cambria"/>
          <w:lang w:val="en-US"/>
        </w:rPr>
        <w:t>Syahrani</w:t>
      </w:r>
      <w:proofErr w:type="spellEnd"/>
      <w:r w:rsidRPr="00D11066">
        <w:rPr>
          <w:rFonts w:ascii="Cambria" w:eastAsia="Cambria" w:hAnsi="Cambria" w:cs="Cambria"/>
          <w:lang w:val="en-US"/>
        </w:rPr>
        <w:t xml:space="preserve"> et al., 2025; Gök, 2024; </w:t>
      </w:r>
      <w:proofErr w:type="spellStart"/>
      <w:r w:rsidRPr="00D11066">
        <w:rPr>
          <w:rFonts w:ascii="Cambria" w:eastAsia="Cambria" w:hAnsi="Cambria" w:cs="Cambria"/>
          <w:lang w:val="en-US"/>
        </w:rPr>
        <w:t>Šuvakov</w:t>
      </w:r>
      <w:proofErr w:type="spellEnd"/>
      <w:r w:rsidRPr="00D11066">
        <w:rPr>
          <w:rFonts w:ascii="Cambria" w:eastAsia="Cambria" w:hAnsi="Cambria" w:cs="Cambria"/>
          <w:lang w:val="en-US"/>
        </w:rPr>
        <w:t xml:space="preserve"> &amp; Sekicki, 2025; Sánchez-Caguana, 2023). These challenges suggest that the success of IFRS convergence depends not only on the technical adoption of international standards but also on the institutional capacity of each country to implement them effectively.</w:t>
      </w:r>
    </w:p>
    <w:p w14:paraId="6FF3FEDC"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 xml:space="preserve">A central argument supporting IFRS convergence is that it improves the quality of financial reporting. High-quality financial reporting is essential for ensuring transparency, reducing information asymmetry, and supporting efficient capital market operations. Several empirical studies indicate that the adoption of IFRS can enhance financial reporting quality through multiple mechanisms. IFRS is generally considered a principles-based accounting system that emphasizes fair value measurement, comprehensive disclosure requirements, and a stronger alignment between accounting information and economic reality. These characteristics are expected to reduce opportunistic financial reporting practices, such as earnings management, while increasing the relevance and reliability of financial information. Empirical evidence from various countries suggests that companies adopting IFRS tend to exhibit lower levels of </w:t>
      </w:r>
      <w:r w:rsidRPr="00D11066">
        <w:rPr>
          <w:rFonts w:ascii="Cambria" w:eastAsia="Cambria" w:hAnsi="Cambria" w:cs="Cambria"/>
          <w:lang w:val="en-US"/>
        </w:rPr>
        <w:lastRenderedPageBreak/>
        <w:t>earnings management, more timely recognition of economic losses, and higher value relevance of accounting information (</w:t>
      </w:r>
      <w:proofErr w:type="spellStart"/>
      <w:r w:rsidRPr="00D11066">
        <w:rPr>
          <w:rFonts w:ascii="Cambria" w:eastAsia="Cambria" w:hAnsi="Cambria" w:cs="Cambria"/>
          <w:lang w:val="en-US"/>
        </w:rPr>
        <w:t>Lawalata</w:t>
      </w:r>
      <w:proofErr w:type="spellEnd"/>
      <w:r w:rsidRPr="00D11066">
        <w:rPr>
          <w:rFonts w:ascii="Cambria" w:eastAsia="Cambria" w:hAnsi="Cambria" w:cs="Cambria"/>
          <w:lang w:val="en-US"/>
        </w:rPr>
        <w:t xml:space="preserve"> &amp; Salle, 2024; Himanshu &amp; Baker, 2025; Adhikari et al., 2021; Siregar et al., 2025; Mohan &amp; Tambe, 2025; N. et al., 2024; </w:t>
      </w:r>
      <w:proofErr w:type="spellStart"/>
      <w:r w:rsidRPr="00D11066">
        <w:rPr>
          <w:rFonts w:ascii="Cambria" w:eastAsia="Cambria" w:hAnsi="Cambria" w:cs="Cambria"/>
          <w:lang w:val="en-US"/>
        </w:rPr>
        <w:t>Rouvolis</w:t>
      </w:r>
      <w:proofErr w:type="spellEnd"/>
      <w:r w:rsidRPr="00D11066">
        <w:rPr>
          <w:rFonts w:ascii="Cambria" w:eastAsia="Cambria" w:hAnsi="Cambria" w:cs="Cambria"/>
          <w:lang w:val="en-US"/>
        </w:rPr>
        <w:t xml:space="preserve">, 2022; </w:t>
      </w:r>
      <w:proofErr w:type="spellStart"/>
      <w:r w:rsidRPr="00D11066">
        <w:rPr>
          <w:rFonts w:ascii="Cambria" w:eastAsia="Cambria" w:hAnsi="Cambria" w:cs="Cambria"/>
          <w:lang w:val="en-US"/>
        </w:rPr>
        <w:t>Cărea</w:t>
      </w:r>
      <w:proofErr w:type="spellEnd"/>
      <w:r w:rsidRPr="00D11066">
        <w:rPr>
          <w:rFonts w:ascii="Cambria" w:eastAsia="Cambria" w:hAnsi="Cambria" w:cs="Cambria"/>
          <w:lang w:val="en-US"/>
        </w:rPr>
        <w:t xml:space="preserve"> &amp; </w:t>
      </w:r>
      <w:proofErr w:type="spellStart"/>
      <w:r w:rsidRPr="00D11066">
        <w:rPr>
          <w:rFonts w:ascii="Cambria" w:eastAsia="Cambria" w:hAnsi="Cambria" w:cs="Cambria"/>
          <w:lang w:val="en-US"/>
        </w:rPr>
        <w:t>Mișu</w:t>
      </w:r>
      <w:proofErr w:type="spellEnd"/>
      <w:r w:rsidRPr="00D11066">
        <w:rPr>
          <w:rFonts w:ascii="Cambria" w:eastAsia="Cambria" w:hAnsi="Cambria" w:cs="Cambria"/>
          <w:lang w:val="en-US"/>
        </w:rPr>
        <w:t>, 2025).</w:t>
      </w:r>
    </w:p>
    <w:p w14:paraId="7E85386D"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Moreover, the positive impact of IFRS convergence on financial reporting quality appears to be particularly strong in countries with well-developed institutional frameworks. Effective legal enforcement systems, strong corporate governance structures, and high-quality auditing practices enhance the ability of IFRS to improve financial transparency. In such environments, the adoption of international accounting standards is more likely to produce meaningful improvements in financial reporting quality because firms face stronger incentives to comply with disclosure requirements and regulatory oversight. Studies have shown that the benefits of IFRS adoption are significantly greater in jurisdictions with strong investor protection and effective regulatory enforcement mechanisms (</w:t>
      </w:r>
      <w:proofErr w:type="spellStart"/>
      <w:r w:rsidRPr="00D11066">
        <w:rPr>
          <w:rFonts w:ascii="Cambria" w:eastAsia="Cambria" w:hAnsi="Cambria" w:cs="Cambria"/>
          <w:lang w:val="en-US"/>
        </w:rPr>
        <w:t>Lawalata</w:t>
      </w:r>
      <w:proofErr w:type="spellEnd"/>
      <w:r w:rsidRPr="00D11066">
        <w:rPr>
          <w:rFonts w:ascii="Cambria" w:eastAsia="Cambria" w:hAnsi="Cambria" w:cs="Cambria"/>
          <w:lang w:val="en-US"/>
        </w:rPr>
        <w:t xml:space="preserve"> &amp; Salle, 2024; Himanshu &amp; Baker, 2025; N. et al., 2024). This finding suggests that accounting standards alone cannot guarantee high-quality financial reporting; instead, their effectiveness depends on the broader institutional context in which they are implemented.</w:t>
      </w:r>
    </w:p>
    <w:p w14:paraId="57D2AD33"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However, the empirical evidence regarding the impact of IFRS convergence is not entirely consistent. While many studies report positive outcomes associated with IFRS adoption, other research highlights potential limitations and transitional challenges. For example, research examining the implementation of Indian Accounting Standards (Ind AS), which are converged with IFRS, indicates that financial reporting quality initially declined following the transition to the new standards. The study found increased discretionary accruals and less timely recognition of losses during the early adoption period. Over time, however, financial reporting quality gradually improved as firms and accounting professionals gained experience with the new reporting framework, reflecting a learning curve associated with the adoption process (Adhikari et al., 2021). These findings suggest that the benefits of IFRS convergence may not be immediately realized and may depend on the maturity of the accounting environment and the level of professional expertise within organizations.</w:t>
      </w:r>
    </w:p>
    <w:p w14:paraId="484B6441"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Similarly, research conducted in Portugal reveals that while IFRS adoption enhanced the legitimacy of financial reporting practices in the eyes of international stakeholders, the economic benefits of the reform were perceived as relatively limited. The study attributes this outcome to the coexistence of IFRS with a legal and institutional framework traditionally rooted in a code-law system. In such contexts, formal adoption of international standards may not always translate into substantive changes in financial reporting practices, leading to a phenomenon known as institutional decoupling (Silva et al., 2023). These findings highlight the complex interaction between global accounting standards and national institutional environments, suggesting that accounting harmonization may produce different outcomes depending on the regulatory and cultural context of each country.</w:t>
      </w:r>
    </w:p>
    <w:p w14:paraId="0F51EC94"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 xml:space="preserve">The mixed empirical evidence regarding the impact of IFRS convergence underscores the importance of further research in this area. Although a large body of literature has examined the technical aspects of financial reporting quality following IFRS adoption, several important research gaps remain. Bibliometric analyses of IFRS-related studies indicate that existing research is heavily concentrated on technical reporting issues such as earnings management, value relevance, and disclosure quality. In contrast, relatively limited attention has been given to the behavioral responses of key stakeholders involved in the financial reporting process, including preparers, investors, auditors, and regulators (Bathla et al., 2023). Understanding how these stakeholders </w:t>
      </w:r>
      <w:r w:rsidRPr="00D11066">
        <w:rPr>
          <w:rFonts w:ascii="Cambria" w:eastAsia="Cambria" w:hAnsi="Cambria" w:cs="Cambria"/>
          <w:lang w:val="en-US"/>
        </w:rPr>
        <w:lastRenderedPageBreak/>
        <w:t>interpret and respond to changes in accounting standards is essential for evaluating the broader implications of IFRS convergence.</w:t>
      </w:r>
    </w:p>
    <w:p w14:paraId="54EDB0DF"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In addition, systematic reviews of research on IFRS-converged accounting systems such as Ind AS reveal several underexplored areas in the literature. For instance, relatively little research has examined the relationship between IFRS adoption and ethical dimensions of financial reporting, including issues related to reporting integrity, transparency, and accountability. Similarly, the increasing complexity of financial statements under IFRS has raised concerns regarding the readability and understandability of financial disclosures, yet these issues remain insufficiently studied. Another important research gap concerns the compliance costs associated with IFRS implementation, particularly for smaller firms that may face significant financial and technical constraints when adopting complex accounting standards (N. et al., 2024).</w:t>
      </w:r>
    </w:p>
    <w:p w14:paraId="3DA74350"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Furthermore, many existing studies focus primarily on short-term outcomes of IFRS adoption, leaving the long-term economic implications of accounting convergence relatively unexplored. There is still limited empirical evidence regarding how IFRS convergence influences broader corporate outcomes such as firm performance, cost of capital, and sustainability reporting practices across different institutional contexts. Scholars emphasize the need for more comprehensive research that examines the long-term economic consequences of accounting harmonization, particularly in emerging markets where institutional structures may differ significantly from those in developed economies (Himanshu &amp; Baker, 2025; N. et al., 2024; Rizvi, 2024).</w:t>
      </w:r>
    </w:p>
    <w:p w14:paraId="54CE27E8"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Another important area that remains relatively understudied concerns the implementation of IFRS in small and medium-sized enterprises and specialized sectors such as Islamic banking and financial institutions. These organizations often operate under different regulatory frameworks and face distinct operational challenges compared to large publicly listed companies. The adoption of IFRS for SMEs, as well as the adaptation of international accounting standards to Islamic financial systems, presents unique challenges that require further scholarly attention (</w:t>
      </w:r>
      <w:proofErr w:type="spellStart"/>
      <w:r w:rsidRPr="00D11066">
        <w:rPr>
          <w:rFonts w:ascii="Cambria" w:eastAsia="Cambria" w:hAnsi="Cambria" w:cs="Cambria"/>
          <w:lang w:val="en-US"/>
        </w:rPr>
        <w:t>Syahrani</w:t>
      </w:r>
      <w:proofErr w:type="spellEnd"/>
      <w:r w:rsidRPr="00D11066">
        <w:rPr>
          <w:rFonts w:ascii="Cambria" w:eastAsia="Cambria" w:hAnsi="Cambria" w:cs="Cambria"/>
          <w:lang w:val="en-US"/>
        </w:rPr>
        <w:t xml:space="preserve"> et al., 2025; Gök, 2024; </w:t>
      </w:r>
      <w:proofErr w:type="spellStart"/>
      <w:r w:rsidRPr="00D11066">
        <w:rPr>
          <w:rFonts w:ascii="Cambria" w:eastAsia="Cambria" w:hAnsi="Cambria" w:cs="Cambria"/>
          <w:lang w:val="en-US"/>
        </w:rPr>
        <w:t>Šuvakov</w:t>
      </w:r>
      <w:proofErr w:type="spellEnd"/>
      <w:r w:rsidRPr="00D11066">
        <w:rPr>
          <w:rFonts w:ascii="Cambria" w:eastAsia="Cambria" w:hAnsi="Cambria" w:cs="Cambria"/>
          <w:lang w:val="en-US"/>
        </w:rPr>
        <w:t xml:space="preserve"> &amp; Sekicki, 2025; Sujana &amp; </w:t>
      </w:r>
      <w:proofErr w:type="spellStart"/>
      <w:r w:rsidRPr="00D11066">
        <w:rPr>
          <w:rFonts w:ascii="Cambria" w:eastAsia="Cambria" w:hAnsi="Cambria" w:cs="Cambria"/>
          <w:lang w:val="en-US"/>
        </w:rPr>
        <w:t>Mukhlisin</w:t>
      </w:r>
      <w:proofErr w:type="spellEnd"/>
      <w:r w:rsidRPr="00D11066">
        <w:rPr>
          <w:rFonts w:ascii="Cambria" w:eastAsia="Cambria" w:hAnsi="Cambria" w:cs="Cambria"/>
          <w:lang w:val="en-US"/>
        </w:rPr>
        <w:t>, 2025). Understanding these sector-specific dynamics is crucial for developing a more comprehensive understanding of the global impact of accounting convergence.</w:t>
      </w:r>
    </w:p>
    <w:p w14:paraId="03DDD2F1" w14:textId="77777777" w:rsidR="00D11066" w:rsidRPr="00D11066"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Based on these considerations, the novelty of this study lies in its integrative examination of the convergence of international accounting standards and its implications for financial reporting quality by synthesizing diverse empirical findings and institutional perspectives. Rather than focusing solely on technical accounting outcomes, this study emphasizes the interaction between accounting standards, institutional environments, and stakeholder dynamics in shaping financial reporting practices. By adopting this broader analytical perspective, the study aims to contribute to the ongoing discourse on the effectiveness of global accounting harmonization.</w:t>
      </w:r>
    </w:p>
    <w:p w14:paraId="6FF20AFD" w14:textId="77777777" w:rsidR="00D11066" w:rsidRPr="00DD518F" w:rsidRDefault="00D11066" w:rsidP="00D11066">
      <w:pPr>
        <w:pBdr>
          <w:top w:val="nil"/>
          <w:left w:val="nil"/>
          <w:bottom w:val="nil"/>
          <w:right w:val="nil"/>
          <w:between w:val="nil"/>
        </w:pBdr>
        <w:ind w:firstLine="709"/>
        <w:jc w:val="both"/>
        <w:rPr>
          <w:rFonts w:ascii="Cambria" w:eastAsia="Cambria" w:hAnsi="Cambria" w:cs="Cambria"/>
          <w:lang w:val="en-US"/>
        </w:rPr>
      </w:pPr>
      <w:r w:rsidRPr="00D11066">
        <w:rPr>
          <w:rFonts w:ascii="Cambria" w:eastAsia="Cambria" w:hAnsi="Cambria" w:cs="Cambria"/>
          <w:lang w:val="en-US"/>
        </w:rPr>
        <w:t>Therefore, the objective of this research is to analyze how the convergence of international accounting standards influences the quality of financial reporting while considering the institutional, regulatory, and contextual factors that shape its effectiveness across different economic environments. Through this analysis, the study seeks to provide a deeper understanding of the opportunities and challenges associated with IFRS convergence in the context of global financial reporting practices.</w:t>
      </w:r>
    </w:p>
    <w:p w14:paraId="339C88E4" w14:textId="77777777" w:rsidR="0008468B" w:rsidRPr="00034438" w:rsidRDefault="0008468B">
      <w:pPr>
        <w:pBdr>
          <w:top w:val="nil"/>
          <w:left w:val="nil"/>
          <w:bottom w:val="nil"/>
          <w:right w:val="nil"/>
          <w:between w:val="nil"/>
        </w:pBdr>
        <w:jc w:val="both"/>
        <w:rPr>
          <w:rFonts w:ascii="Cambria" w:eastAsia="Cambria" w:hAnsi="Cambria" w:cs="Cambria"/>
          <w:b/>
          <w:lang w:val="en-US"/>
        </w:rPr>
      </w:pPr>
    </w:p>
    <w:p w14:paraId="173C6BC5" w14:textId="77777777" w:rsidR="004069F7" w:rsidRDefault="00E008BF">
      <w:pPr>
        <w:rPr>
          <w:rFonts w:ascii="Cambria" w:eastAsia="Cambria" w:hAnsi="Cambria" w:cs="Cambria"/>
          <w:b/>
        </w:rPr>
      </w:pPr>
      <w:r>
        <w:rPr>
          <w:rFonts w:ascii="Cambria" w:eastAsia="Cambria" w:hAnsi="Cambria" w:cs="Cambria"/>
          <w:b/>
        </w:rPr>
        <w:t xml:space="preserve">METHODS </w:t>
      </w:r>
      <w:r>
        <w:rPr>
          <w:rFonts w:ascii="Cambria" w:eastAsia="Cambria" w:hAnsi="Cambria" w:cs="Cambria"/>
          <w:b/>
        </w:rPr>
        <w:tab/>
      </w:r>
    </w:p>
    <w:p w14:paraId="03FF2F59" w14:textId="77777777" w:rsidR="00D11066" w:rsidRPr="00D11066" w:rsidRDefault="00D11066" w:rsidP="00D11066">
      <w:pPr>
        <w:pBdr>
          <w:top w:val="nil"/>
          <w:left w:val="nil"/>
          <w:bottom w:val="nil"/>
          <w:right w:val="nil"/>
          <w:between w:val="nil"/>
        </w:pBdr>
        <w:ind w:firstLine="567"/>
        <w:jc w:val="both"/>
        <w:rPr>
          <w:rFonts w:ascii="Cambria" w:eastAsia="Cambria" w:hAnsi="Cambria" w:cs="Cambria"/>
          <w:lang w:val="en-US"/>
        </w:rPr>
      </w:pPr>
      <w:r w:rsidRPr="00D11066">
        <w:rPr>
          <w:rFonts w:ascii="Cambria" w:eastAsia="Cambria" w:hAnsi="Cambria" w:cs="Cambria"/>
          <w:lang w:val="en-US"/>
        </w:rPr>
        <w:t xml:space="preserve">This study employs a qualitative research approach using a conceptual and systematic literature review design to analyze the convergence of International Financial Reporting Standards (IFRS) and its impact on the quality of financial reporting. The </w:t>
      </w:r>
      <w:r w:rsidRPr="00D11066">
        <w:rPr>
          <w:rFonts w:ascii="Cambria" w:eastAsia="Cambria" w:hAnsi="Cambria" w:cs="Cambria"/>
          <w:lang w:val="en-US"/>
        </w:rPr>
        <w:lastRenderedPageBreak/>
        <w:t>qualitative approach is appropriate because the study aims to synthesize theoretical perspectives and empirical findings from previous research in order to develop a comprehensive understanding of how IFRS convergence influences financial reporting practices across different institutional contexts. The data used in this research consist of secondary data obtained from accredited academic journals, international publications, and scholarly studies related to IFRS adoption, accounting harmonization, and financial reporting quality. The data collection technique was carried out through a systematic literature review process by identifying and selecting relevant articles from reputable academic databases such as Google Scholar, Scopus-indexed journals, and other peer-reviewed publications. The selection of literature was based on several criteria, including relevance to the research topic, methodological credibility, and the contribution of the studies to the discussion of IFRS convergence and financial reporting quality. Particular attention was given to studies examining the effects of IFRS adoption in different institutional and regulatory environments to ensure a comprehensive representation of global research findings.</w:t>
      </w:r>
    </w:p>
    <w:p w14:paraId="6FC82772" w14:textId="77777777" w:rsidR="00D11066" w:rsidRPr="00D11066" w:rsidRDefault="00D11066" w:rsidP="00D11066">
      <w:pPr>
        <w:pBdr>
          <w:top w:val="nil"/>
          <w:left w:val="nil"/>
          <w:bottom w:val="nil"/>
          <w:right w:val="nil"/>
          <w:between w:val="nil"/>
        </w:pBdr>
        <w:ind w:firstLine="567"/>
        <w:jc w:val="both"/>
        <w:rPr>
          <w:rFonts w:ascii="Cambria" w:eastAsia="Cambria" w:hAnsi="Cambria" w:cs="Cambria"/>
          <w:lang w:val="en-US"/>
        </w:rPr>
      </w:pPr>
      <w:r w:rsidRPr="00D11066">
        <w:rPr>
          <w:rFonts w:ascii="Cambria" w:eastAsia="Cambria" w:hAnsi="Cambria" w:cs="Cambria"/>
          <w:lang w:val="en-US"/>
        </w:rPr>
        <w:t>The data analysis in this study was conducted using qualitative content analysis and conceptual synthesis methods. First, the collected literature was systematically classified into several analytical themes, including the global harmonization of accounting standards, the impact of IFRS convergence on financial reporting quality, and the institutional factors influencing the effectiveness of IFRS implementation. Each selected study was carefully examined to identify its key arguments, research findings, and theoretical contributions related to financial reporting transparency, earnings management, value relevance, and disclosure quality. Subsequently, a comparative analysis was conducted to evaluate similarities and differences among empirical findings from various countries and institutional contexts. This process allowed the study to identify patterns, inconsistencies, and emerging trends in the literature regarding the effects of IFRS convergence. Finally, a conceptual synthesis was performed to integrate these findings into a coherent analytical framework that explains how international accounting standards convergence interacts with institutional environments to influence the quality of financial reporting. Through this analytical approach, the study aims to provide a comprehensive understanding of the opportunities and challenges associated with IFRS convergence in improving global financial reporting practices.</w:t>
      </w:r>
    </w:p>
    <w:p w14:paraId="6C9E3081" w14:textId="77777777" w:rsidR="00262310" w:rsidRPr="00262310" w:rsidRDefault="00262310" w:rsidP="00DD518F">
      <w:pPr>
        <w:pBdr>
          <w:top w:val="nil"/>
          <w:left w:val="nil"/>
          <w:bottom w:val="nil"/>
          <w:right w:val="nil"/>
          <w:between w:val="nil"/>
        </w:pBdr>
        <w:ind w:firstLine="567"/>
        <w:jc w:val="both"/>
        <w:rPr>
          <w:rFonts w:ascii="Cambria" w:eastAsia="Cambria" w:hAnsi="Cambria" w:cs="Cambria"/>
          <w:lang w:val="en-US"/>
        </w:rPr>
      </w:pPr>
    </w:p>
    <w:p w14:paraId="0BB7BAE1" w14:textId="77777777" w:rsidR="00034438" w:rsidRPr="00205DD0" w:rsidRDefault="00D11066" w:rsidP="00262310">
      <w:pPr>
        <w:pBdr>
          <w:top w:val="nil"/>
          <w:left w:val="nil"/>
          <w:bottom w:val="nil"/>
          <w:right w:val="nil"/>
          <w:between w:val="nil"/>
        </w:pBdr>
        <w:ind w:firstLine="567"/>
        <w:jc w:val="center"/>
        <w:rPr>
          <w:rFonts w:ascii="Cambria" w:eastAsia="Cambria" w:hAnsi="Cambria" w:cs="Cambria"/>
          <w:lang w:val="en-US"/>
        </w:rPr>
      </w:pPr>
      <w:r w:rsidRPr="00D11066">
        <w:rPr>
          <w:rFonts w:ascii="Cambria" w:eastAsia="Cambria" w:hAnsi="Cambria" w:cs="Cambria"/>
          <w:noProof/>
          <w:lang w:val="en-US"/>
        </w:rPr>
        <w:drawing>
          <wp:inline distT="0" distB="0" distL="0" distR="0" wp14:anchorId="2C0B1CD7" wp14:editId="7785A7EA">
            <wp:extent cx="5312386" cy="3061854"/>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3324" cy="3068158"/>
                    </a:xfrm>
                    <a:prstGeom prst="rect">
                      <a:avLst/>
                    </a:prstGeom>
                  </pic:spPr>
                </pic:pic>
              </a:graphicData>
            </a:graphic>
          </wp:inline>
        </w:drawing>
      </w:r>
    </w:p>
    <w:p w14:paraId="22890083" w14:textId="77777777" w:rsidR="00034438" w:rsidRDefault="00034438" w:rsidP="00034438">
      <w:pPr>
        <w:pBdr>
          <w:top w:val="nil"/>
          <w:left w:val="nil"/>
          <w:bottom w:val="nil"/>
          <w:right w:val="nil"/>
          <w:between w:val="nil"/>
        </w:pBdr>
        <w:ind w:firstLine="567"/>
        <w:jc w:val="center"/>
        <w:rPr>
          <w:rFonts w:ascii="Cambria" w:eastAsia="Cambria" w:hAnsi="Cambria" w:cs="Cambria"/>
          <w:bCs/>
          <w:lang w:val="en-US"/>
        </w:rPr>
      </w:pPr>
      <w:r>
        <w:rPr>
          <w:rFonts w:ascii="Cambria" w:eastAsia="Cambria" w:hAnsi="Cambria" w:cs="Cambria"/>
          <w:bCs/>
          <w:lang w:val="en-US"/>
        </w:rPr>
        <w:lastRenderedPageBreak/>
        <w:t>Figure 1. Diagram Conceptual Research</w:t>
      </w:r>
    </w:p>
    <w:p w14:paraId="7CE572F5" w14:textId="77777777" w:rsidR="00B114EB" w:rsidRPr="00034438" w:rsidRDefault="00B114EB" w:rsidP="00B114EB">
      <w:pPr>
        <w:pBdr>
          <w:top w:val="nil"/>
          <w:left w:val="nil"/>
          <w:bottom w:val="nil"/>
          <w:right w:val="nil"/>
          <w:between w:val="nil"/>
        </w:pBdr>
        <w:rPr>
          <w:rFonts w:ascii="Cambria" w:eastAsia="Cambria" w:hAnsi="Cambria" w:cs="Cambria"/>
          <w:bCs/>
          <w:lang w:val="en-US"/>
        </w:rPr>
      </w:pPr>
    </w:p>
    <w:p w14:paraId="09782B40" w14:textId="77777777" w:rsidR="00A46B6F" w:rsidRPr="00034438" w:rsidRDefault="00E008BF" w:rsidP="00034438">
      <w:pPr>
        <w:pBdr>
          <w:top w:val="nil"/>
          <w:left w:val="nil"/>
          <w:bottom w:val="nil"/>
          <w:right w:val="nil"/>
          <w:between w:val="nil"/>
        </w:pBdr>
        <w:ind w:firstLine="567"/>
        <w:jc w:val="both"/>
        <w:rPr>
          <w:rFonts w:ascii="Cambria" w:eastAsia="Cambria" w:hAnsi="Cambria" w:cs="Cambria"/>
          <w:b/>
          <w:lang w:val="en-US"/>
        </w:rPr>
      </w:pPr>
      <w:r>
        <w:rPr>
          <w:rFonts w:ascii="Cambria" w:eastAsia="Cambria" w:hAnsi="Cambria" w:cs="Cambria"/>
          <w:b/>
        </w:rPr>
        <w:tab/>
      </w:r>
    </w:p>
    <w:p w14:paraId="621FEEAB" w14:textId="77777777" w:rsidR="004069F7" w:rsidRDefault="00E008BF" w:rsidP="00A46B6F">
      <w:pPr>
        <w:pBdr>
          <w:top w:val="nil"/>
          <w:left w:val="nil"/>
          <w:bottom w:val="nil"/>
          <w:right w:val="nil"/>
          <w:between w:val="nil"/>
        </w:pBdr>
        <w:jc w:val="both"/>
        <w:rPr>
          <w:rFonts w:ascii="Cambria" w:eastAsia="Cambria" w:hAnsi="Cambria" w:cs="Cambria"/>
          <w:b/>
        </w:rPr>
      </w:pPr>
      <w:r>
        <w:rPr>
          <w:rFonts w:ascii="Cambria" w:eastAsia="Cambria" w:hAnsi="Cambria" w:cs="Cambria"/>
          <w:b/>
        </w:rPr>
        <w:t xml:space="preserve">RESULTS AND DISCUSSION </w:t>
      </w:r>
    </w:p>
    <w:p w14:paraId="7E140DB4" w14:textId="77777777" w:rsidR="005B1E31" w:rsidRDefault="00D11066" w:rsidP="00D11066">
      <w:pPr>
        <w:pBdr>
          <w:top w:val="nil"/>
          <w:left w:val="nil"/>
          <w:bottom w:val="nil"/>
          <w:right w:val="nil"/>
          <w:between w:val="nil"/>
        </w:pBdr>
        <w:ind w:firstLine="720"/>
        <w:jc w:val="both"/>
        <w:rPr>
          <w:rFonts w:ascii="Cambria" w:eastAsia="Cambria" w:hAnsi="Cambria" w:cs="Cambria"/>
        </w:rPr>
      </w:pPr>
      <w:r w:rsidRPr="00D11066">
        <w:rPr>
          <w:rFonts w:ascii="Cambria" w:eastAsia="Cambria" w:hAnsi="Cambria" w:cs="Cambria"/>
        </w:rPr>
        <w:t>To examine how the convergence of International Financial Reporting Standards (IFRS) influences the quality of financial reporting, this study synthesizes empirical findings from previous research identified through the literature review process. The analysis focuses on identifying the main dimensions through which IFRS convergence affects financial reporting practices across different institutional environments. The results of this synthesis are summarized in Table 1, which presents the key dimensions of IFRS convergence, the mechanisms through which these dimensions influence financial reporting quality, and the empirical evidence reported in previous studies.</w:t>
      </w:r>
    </w:p>
    <w:p w14:paraId="625EAEB2" w14:textId="77777777" w:rsidR="00D11066" w:rsidRPr="002B1FEE" w:rsidRDefault="00D11066" w:rsidP="00D11066">
      <w:pPr>
        <w:pBdr>
          <w:top w:val="nil"/>
          <w:left w:val="nil"/>
          <w:bottom w:val="nil"/>
          <w:right w:val="nil"/>
          <w:between w:val="nil"/>
        </w:pBdr>
        <w:ind w:firstLine="720"/>
        <w:jc w:val="both"/>
        <w:rPr>
          <w:rFonts w:ascii="Cambria" w:eastAsia="Cambria" w:hAnsi="Cambria" w:cs="Cambria"/>
          <w:lang w:val="en-US"/>
        </w:rPr>
      </w:pPr>
    </w:p>
    <w:p w14:paraId="6560C9B0" w14:textId="77777777" w:rsidR="00D11066" w:rsidRDefault="00D11066" w:rsidP="00D11066">
      <w:pPr>
        <w:pBdr>
          <w:top w:val="nil"/>
          <w:left w:val="nil"/>
          <w:bottom w:val="nil"/>
          <w:right w:val="nil"/>
          <w:between w:val="nil"/>
        </w:pBdr>
        <w:jc w:val="center"/>
        <w:rPr>
          <w:rFonts w:ascii="Cambria" w:eastAsia="Cambria" w:hAnsi="Cambria" w:cs="Cambria"/>
        </w:rPr>
      </w:pPr>
      <w:r w:rsidRPr="00D11066">
        <w:rPr>
          <w:rFonts w:ascii="Cambria" w:eastAsia="Cambria" w:hAnsi="Cambria" w:cs="Cambria"/>
        </w:rPr>
        <w:t>Table 1. Key Dimensions of IFRS Convergence and Their Impact on Financial Reporting Quality</w:t>
      </w:r>
    </w:p>
    <w:tbl>
      <w:tblPr>
        <w:tblStyle w:val="PlainTable2"/>
        <w:tblW w:w="9209" w:type="dxa"/>
        <w:jc w:val="center"/>
        <w:tblLook w:val="04A0" w:firstRow="1" w:lastRow="0" w:firstColumn="1" w:lastColumn="0" w:noHBand="0" w:noVBand="1"/>
      </w:tblPr>
      <w:tblGrid>
        <w:gridCol w:w="2005"/>
        <w:gridCol w:w="1684"/>
        <w:gridCol w:w="2202"/>
        <w:gridCol w:w="3318"/>
      </w:tblGrid>
      <w:tr w:rsidR="00D11066" w:rsidRPr="00D11066" w14:paraId="695533F6" w14:textId="77777777" w:rsidTr="002B1F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5" w:type="dxa"/>
          </w:tcPr>
          <w:p w14:paraId="4D265BC6" w14:textId="77777777" w:rsidR="00D11066" w:rsidRPr="00D11066" w:rsidRDefault="00D11066" w:rsidP="00D11066">
            <w:pPr>
              <w:jc w:val="center"/>
              <w:rPr>
                <w:rFonts w:ascii="Cambria" w:hAnsi="Cambria"/>
                <w:lang w:eastAsia="en-US"/>
              </w:rPr>
            </w:pPr>
            <w:r w:rsidRPr="00D11066">
              <w:rPr>
                <w:rFonts w:ascii="Cambria" w:hAnsi="Cambria"/>
              </w:rPr>
              <w:t>Dimension</w:t>
            </w:r>
          </w:p>
        </w:tc>
        <w:tc>
          <w:tcPr>
            <w:tcW w:w="1684" w:type="dxa"/>
          </w:tcPr>
          <w:p w14:paraId="539B97EA" w14:textId="77777777" w:rsidR="00D11066" w:rsidRPr="00D11066" w:rsidRDefault="00D11066" w:rsidP="00D11066">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Key Components</w:t>
            </w:r>
          </w:p>
        </w:tc>
        <w:tc>
          <w:tcPr>
            <w:tcW w:w="2202" w:type="dxa"/>
          </w:tcPr>
          <w:p w14:paraId="131FD5CF" w14:textId="77777777" w:rsidR="00D11066" w:rsidRPr="00D11066" w:rsidRDefault="00D11066" w:rsidP="00D11066">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Impact on Financial Reporting Quality</w:t>
            </w:r>
          </w:p>
        </w:tc>
        <w:tc>
          <w:tcPr>
            <w:tcW w:w="3318" w:type="dxa"/>
          </w:tcPr>
          <w:p w14:paraId="475A2BF5" w14:textId="77777777" w:rsidR="00D11066" w:rsidRPr="00D11066" w:rsidRDefault="00D11066" w:rsidP="00D11066">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Empirical Evidence</w:t>
            </w:r>
          </w:p>
        </w:tc>
      </w:tr>
      <w:tr w:rsidR="00D11066" w:rsidRPr="00D11066" w14:paraId="5B243FD4" w14:textId="77777777" w:rsidTr="002B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5" w:type="dxa"/>
          </w:tcPr>
          <w:p w14:paraId="04B75C08" w14:textId="77777777" w:rsidR="00D11066" w:rsidRPr="00D11066" w:rsidRDefault="00D11066" w:rsidP="00D11066">
            <w:pPr>
              <w:rPr>
                <w:rFonts w:ascii="Cambria" w:hAnsi="Cambria"/>
                <w:b w:val="0"/>
                <w:bCs w:val="0"/>
              </w:rPr>
            </w:pPr>
            <w:r w:rsidRPr="00D11066">
              <w:rPr>
                <w:rFonts w:ascii="Cambria" w:hAnsi="Cambria"/>
              </w:rPr>
              <w:t>Accounting Harmonization</w:t>
            </w:r>
          </w:p>
        </w:tc>
        <w:tc>
          <w:tcPr>
            <w:tcW w:w="1684" w:type="dxa"/>
          </w:tcPr>
          <w:p w14:paraId="09525575"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Adoption or convergence of national accounting standards with IFRS</w:t>
            </w:r>
          </w:p>
        </w:tc>
        <w:tc>
          <w:tcPr>
            <w:tcW w:w="2202" w:type="dxa"/>
          </w:tcPr>
          <w:p w14:paraId="36A525F9"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Improves comparability, transparency, and accountability of financial statements across jurisdictions</w:t>
            </w:r>
          </w:p>
        </w:tc>
        <w:tc>
          <w:tcPr>
            <w:tcW w:w="3318" w:type="dxa"/>
          </w:tcPr>
          <w:p w14:paraId="78AE8B55"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IFRS harmonization increases cross-country comparability and enhances disclosure transparency (Lawalata &amp; Salle, 2024; Ilakkiya, 2024; Šuvakov &amp; Sekicki, 2025; Hehanussa, 2025)</w:t>
            </w:r>
          </w:p>
        </w:tc>
      </w:tr>
      <w:tr w:rsidR="00D11066" w:rsidRPr="00D11066" w14:paraId="2FE9C903" w14:textId="77777777" w:rsidTr="002B1FEE">
        <w:trPr>
          <w:jc w:val="center"/>
        </w:trPr>
        <w:tc>
          <w:tcPr>
            <w:cnfStyle w:val="001000000000" w:firstRow="0" w:lastRow="0" w:firstColumn="1" w:lastColumn="0" w:oddVBand="0" w:evenVBand="0" w:oddHBand="0" w:evenHBand="0" w:firstRowFirstColumn="0" w:firstRowLastColumn="0" w:lastRowFirstColumn="0" w:lastRowLastColumn="0"/>
            <w:tcW w:w="2005" w:type="dxa"/>
          </w:tcPr>
          <w:p w14:paraId="18B17CE9" w14:textId="77777777" w:rsidR="00D11066" w:rsidRPr="00D11066" w:rsidRDefault="00D11066" w:rsidP="00D11066">
            <w:pPr>
              <w:rPr>
                <w:rFonts w:ascii="Cambria" w:hAnsi="Cambria"/>
              </w:rPr>
            </w:pPr>
            <w:r w:rsidRPr="00D11066">
              <w:rPr>
                <w:rFonts w:ascii="Cambria" w:hAnsi="Cambria"/>
              </w:rPr>
              <w:t>Reduction of Earnings Management</w:t>
            </w:r>
          </w:p>
        </w:tc>
        <w:tc>
          <w:tcPr>
            <w:tcW w:w="1684" w:type="dxa"/>
          </w:tcPr>
          <w:p w14:paraId="6C11C8C3"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Principles-based accounting, fair value measurement, enhanced disclosure requirements</w:t>
            </w:r>
          </w:p>
        </w:tc>
        <w:tc>
          <w:tcPr>
            <w:tcW w:w="2202" w:type="dxa"/>
          </w:tcPr>
          <w:p w14:paraId="014FE40B"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Reduces opportunistic accounting behavior and improves reliability of financial information</w:t>
            </w:r>
          </w:p>
        </w:tc>
        <w:tc>
          <w:tcPr>
            <w:tcW w:w="3318" w:type="dxa"/>
          </w:tcPr>
          <w:p w14:paraId="70EC2F91"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IFRS adoption is associated with lower earnings management and more timely loss recognition (Himanshu &amp; Baker, 2025; Siregar et al., 2025; Rouvolis, 2022; Cărea &amp; Mișu, 2025)</w:t>
            </w:r>
          </w:p>
        </w:tc>
      </w:tr>
      <w:tr w:rsidR="00D11066" w:rsidRPr="00D11066" w14:paraId="16B95C37" w14:textId="77777777" w:rsidTr="002B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5" w:type="dxa"/>
          </w:tcPr>
          <w:p w14:paraId="36D1365B" w14:textId="77777777" w:rsidR="00D11066" w:rsidRPr="00D11066" w:rsidRDefault="00D11066" w:rsidP="00D11066">
            <w:pPr>
              <w:rPr>
                <w:rFonts w:ascii="Cambria" w:hAnsi="Cambria"/>
              </w:rPr>
            </w:pPr>
            <w:r w:rsidRPr="00D11066">
              <w:rPr>
                <w:rFonts w:ascii="Cambria" w:hAnsi="Cambria"/>
              </w:rPr>
              <w:t>Capital Market Efficiency</w:t>
            </w:r>
          </w:p>
        </w:tc>
        <w:tc>
          <w:tcPr>
            <w:tcW w:w="1684" w:type="dxa"/>
          </w:tcPr>
          <w:p w14:paraId="131F18BA"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Improved financial transparency and disclosure comparability</w:t>
            </w:r>
          </w:p>
        </w:tc>
        <w:tc>
          <w:tcPr>
            <w:tcW w:w="2202" w:type="dxa"/>
          </w:tcPr>
          <w:p w14:paraId="2B045EFB"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Reduces information asymmetry between firms and investors, facilitating efficient capital allocation</w:t>
            </w:r>
          </w:p>
        </w:tc>
        <w:tc>
          <w:tcPr>
            <w:tcW w:w="3318" w:type="dxa"/>
          </w:tcPr>
          <w:p w14:paraId="61BC7AA1"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Harmonized reporting supports cross-border investment and reduces reporting costs (Ilakkiya, 2024; Mohan &amp; Tambe, 2025)</w:t>
            </w:r>
          </w:p>
        </w:tc>
      </w:tr>
      <w:tr w:rsidR="00D11066" w:rsidRPr="00D11066" w14:paraId="24BCB6F0" w14:textId="77777777" w:rsidTr="002B1FEE">
        <w:trPr>
          <w:jc w:val="center"/>
        </w:trPr>
        <w:tc>
          <w:tcPr>
            <w:cnfStyle w:val="001000000000" w:firstRow="0" w:lastRow="0" w:firstColumn="1" w:lastColumn="0" w:oddVBand="0" w:evenVBand="0" w:oddHBand="0" w:evenHBand="0" w:firstRowFirstColumn="0" w:firstRowLastColumn="0" w:lastRowFirstColumn="0" w:lastRowLastColumn="0"/>
            <w:tcW w:w="2005" w:type="dxa"/>
          </w:tcPr>
          <w:p w14:paraId="601368C5" w14:textId="77777777" w:rsidR="00D11066" w:rsidRPr="00D11066" w:rsidRDefault="00D11066" w:rsidP="00D11066">
            <w:pPr>
              <w:rPr>
                <w:rFonts w:ascii="Cambria" w:hAnsi="Cambria"/>
              </w:rPr>
            </w:pPr>
            <w:r w:rsidRPr="00D11066">
              <w:rPr>
                <w:rFonts w:ascii="Cambria" w:hAnsi="Cambria"/>
              </w:rPr>
              <w:t>Institutional Environment</w:t>
            </w:r>
          </w:p>
        </w:tc>
        <w:tc>
          <w:tcPr>
            <w:tcW w:w="1684" w:type="dxa"/>
          </w:tcPr>
          <w:p w14:paraId="63A72FA5"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Legal enforcement, regulatory quality, corporate governance</w:t>
            </w:r>
          </w:p>
        </w:tc>
        <w:tc>
          <w:tcPr>
            <w:tcW w:w="2202" w:type="dxa"/>
          </w:tcPr>
          <w:p w14:paraId="1FDBC43B"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Strengthens the effectiveness of IFRS implementation and enhances reporting credibility</w:t>
            </w:r>
          </w:p>
        </w:tc>
        <w:tc>
          <w:tcPr>
            <w:tcW w:w="3318" w:type="dxa"/>
          </w:tcPr>
          <w:p w14:paraId="4D03C581" w14:textId="77777777" w:rsidR="00D11066" w:rsidRPr="00D11066" w:rsidRDefault="00D11066" w:rsidP="00D11066">
            <w:pPr>
              <w:cnfStyle w:val="000000000000" w:firstRow="0" w:lastRow="0" w:firstColumn="0" w:lastColumn="0" w:oddVBand="0" w:evenVBand="0" w:oddHBand="0" w:evenHBand="0" w:firstRowFirstColumn="0" w:firstRowLastColumn="0" w:lastRowFirstColumn="0" w:lastRowLastColumn="0"/>
              <w:rPr>
                <w:rFonts w:ascii="Cambria" w:hAnsi="Cambria"/>
              </w:rPr>
            </w:pPr>
            <w:r w:rsidRPr="00D11066">
              <w:rPr>
                <w:rFonts w:ascii="Cambria" w:hAnsi="Cambria"/>
              </w:rPr>
              <w:t>Positive IFRS impact is stronger in countries with strong governance and enforcement systems (Lawalata &amp; Salle, 2024; Himanshu &amp; Baker, 2025; N. et al., 2024)</w:t>
            </w:r>
          </w:p>
        </w:tc>
      </w:tr>
      <w:tr w:rsidR="00D11066" w:rsidRPr="00D11066" w14:paraId="667D0ABD" w14:textId="77777777" w:rsidTr="002B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5" w:type="dxa"/>
          </w:tcPr>
          <w:p w14:paraId="76C2DD31" w14:textId="77777777" w:rsidR="00D11066" w:rsidRPr="00D11066" w:rsidRDefault="00D11066" w:rsidP="00D11066">
            <w:pPr>
              <w:rPr>
                <w:rFonts w:ascii="Cambria" w:hAnsi="Cambria"/>
              </w:rPr>
            </w:pPr>
            <w:r w:rsidRPr="00D11066">
              <w:rPr>
                <w:rFonts w:ascii="Cambria" w:hAnsi="Cambria"/>
              </w:rPr>
              <w:t>Implementation Challenges</w:t>
            </w:r>
          </w:p>
        </w:tc>
        <w:tc>
          <w:tcPr>
            <w:tcW w:w="1684" w:type="dxa"/>
          </w:tcPr>
          <w:p w14:paraId="2CAC8FFF"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t xml:space="preserve">Transition costs, reporting </w:t>
            </w:r>
            <w:r w:rsidRPr="00D11066">
              <w:rPr>
                <w:rFonts w:ascii="Cambria" w:hAnsi="Cambria"/>
              </w:rPr>
              <w:lastRenderedPageBreak/>
              <w:t>complexity, limited professional capacity</w:t>
            </w:r>
          </w:p>
        </w:tc>
        <w:tc>
          <w:tcPr>
            <w:tcW w:w="2202" w:type="dxa"/>
          </w:tcPr>
          <w:p w14:paraId="731CF264"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lastRenderedPageBreak/>
              <w:t xml:space="preserve">May temporarily reduce reporting quality during </w:t>
            </w:r>
            <w:r w:rsidRPr="00D11066">
              <w:rPr>
                <w:rFonts w:ascii="Cambria" w:hAnsi="Cambria"/>
              </w:rPr>
              <w:lastRenderedPageBreak/>
              <w:t>early adoption stages</w:t>
            </w:r>
          </w:p>
        </w:tc>
        <w:tc>
          <w:tcPr>
            <w:tcW w:w="3318" w:type="dxa"/>
          </w:tcPr>
          <w:p w14:paraId="388BCE7B" w14:textId="77777777" w:rsidR="00D11066" w:rsidRPr="00D11066" w:rsidRDefault="00D11066" w:rsidP="00D11066">
            <w:pPr>
              <w:cnfStyle w:val="000000100000" w:firstRow="0" w:lastRow="0" w:firstColumn="0" w:lastColumn="0" w:oddVBand="0" w:evenVBand="0" w:oddHBand="1" w:evenHBand="0" w:firstRowFirstColumn="0" w:firstRowLastColumn="0" w:lastRowFirstColumn="0" w:lastRowLastColumn="0"/>
              <w:rPr>
                <w:rFonts w:ascii="Cambria" w:hAnsi="Cambria"/>
              </w:rPr>
            </w:pPr>
            <w:r w:rsidRPr="00D11066">
              <w:rPr>
                <w:rFonts w:ascii="Cambria" w:hAnsi="Cambria"/>
              </w:rPr>
              <w:lastRenderedPageBreak/>
              <w:t xml:space="preserve">Initial decline in reporting quality observed during early IFRS adoption due to learning </w:t>
            </w:r>
            <w:r w:rsidRPr="00D11066">
              <w:rPr>
                <w:rFonts w:ascii="Cambria" w:hAnsi="Cambria"/>
              </w:rPr>
              <w:lastRenderedPageBreak/>
              <w:t>curve effects (Adhikari et al., 2021; Syahrani et al., 2025; Sánchez-Caguana, 2023)</w:t>
            </w:r>
          </w:p>
        </w:tc>
      </w:tr>
    </w:tbl>
    <w:p w14:paraId="6611EE7E"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lastRenderedPageBreak/>
        <w:t>The results presented in Table 1 indicate that the convergence of international accounting standards plays a significant role in improving financial reporting quality, particularly through enhanced transparency, comparability, and disclosure practices. The harmonization of accounting standards reduces inconsistencies in financial reporting across countries, enabling investors and regulators to evaluate corporate performance more effectively. Additionally, the adoption of IFRS contributes to reducing earnings management and increasing the reliability of financial information, which strengthens the credibility of corporate financial statements in global capital markets.</w:t>
      </w:r>
    </w:p>
    <w:p w14:paraId="58F73EF3"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However, the analysis also reveals that the effectiveness of IFRS convergence is strongly influenced by institutional factors such as regulatory enforcement, governance structures, and the professional capacity of accounting practitioners. Countries with strong legal frameworks and effective oversight mechanisms tend to experience greater improvements in financial reporting quality following IFRS adoption. Conversely, in environments with weaker institutional structures, the benefits of IFRS convergence may be limited or may take longer to materialize. Furthermore, the transition toward IFRS-based reporting often involves implementation challenges, including increased reporting complexity, higher compliance costs, and the need for professional training. These factors may temporarily reduce reporting quality during the early stages of adoption. Overall, the findings suggest that while IFRS convergence has the potential to significantly improve financial reporting quality, its effectiveness ultimately depends on the institutional and regulatory environment in which the standards are implemented.</w:t>
      </w:r>
    </w:p>
    <w:p w14:paraId="2036CEB0" w14:textId="77777777" w:rsidR="00C87D99" w:rsidRPr="002F3A7F" w:rsidRDefault="00C87D99" w:rsidP="00C87D99">
      <w:pPr>
        <w:pBdr>
          <w:top w:val="nil"/>
          <w:left w:val="nil"/>
          <w:bottom w:val="nil"/>
          <w:right w:val="nil"/>
          <w:between w:val="nil"/>
        </w:pBdr>
        <w:jc w:val="both"/>
        <w:rPr>
          <w:rFonts w:ascii="Cambria" w:eastAsia="Cambria" w:hAnsi="Cambria" w:cs="Cambria"/>
          <w:lang w:val="en-US"/>
        </w:rPr>
      </w:pPr>
    </w:p>
    <w:p w14:paraId="71A40AAE" w14:textId="77777777" w:rsidR="00C87D99" w:rsidRDefault="00C87D99" w:rsidP="00C87D99">
      <w:pPr>
        <w:pBdr>
          <w:top w:val="nil"/>
          <w:left w:val="nil"/>
          <w:bottom w:val="nil"/>
          <w:right w:val="nil"/>
          <w:between w:val="nil"/>
        </w:pBdr>
        <w:jc w:val="both"/>
        <w:rPr>
          <w:rFonts w:ascii="Cambria" w:eastAsia="Cambria" w:hAnsi="Cambria" w:cs="Cambria"/>
          <w:b/>
          <w:bCs/>
          <w:lang w:val="en-US"/>
        </w:rPr>
      </w:pPr>
      <w:r>
        <w:rPr>
          <w:rFonts w:ascii="Cambria" w:eastAsia="Cambria" w:hAnsi="Cambria" w:cs="Cambria"/>
          <w:b/>
          <w:bCs/>
          <w:lang w:val="en-US"/>
        </w:rPr>
        <w:t>Discussion</w:t>
      </w:r>
    </w:p>
    <w:p w14:paraId="3D3A9FC2"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The results of the literature synthesis presented in Table 1 indicate that the convergence of International Financial Reporting Standards (IFRS) represents one of the most significant institutional responses to the globalization of financial markets. The increasing integration of global capital markets, cross-border investments, and multinational corporate operations has created a strong demand for a unified financial reporting framework that enables comparability and transparency across jurisdictions. Historically, the coexistence of different national accounting standards created significant challenges for investors, regulators, and financial analysts attempting to interpret financial information from multinational firms. Differences in measurement, recognition, and disclosure requirements often reduced the comparability of financial statements and increased the costs associated with cross-border investment analysis. In this context, the development and global diffusion of IFRS represent an effort to establish a common financial reporting language that supports the functioning of integrated global markets. Research indicates that globalization of capital markets and international investment flows has been a major driving force behind the increasing adoption of IFRS across countries (</w:t>
      </w:r>
      <w:proofErr w:type="spellStart"/>
      <w:r w:rsidRPr="002B1FEE">
        <w:rPr>
          <w:rFonts w:ascii="Cambria" w:eastAsia="Cambria" w:hAnsi="Cambria" w:cs="Cambria"/>
          <w:lang w:val="en-US"/>
        </w:rPr>
        <w:t>Syahrani</w:t>
      </w:r>
      <w:proofErr w:type="spellEnd"/>
      <w:r w:rsidRPr="002B1FEE">
        <w:rPr>
          <w:rFonts w:ascii="Cambria" w:eastAsia="Cambria" w:hAnsi="Cambria" w:cs="Cambria"/>
          <w:lang w:val="en-US"/>
        </w:rPr>
        <w:t xml:space="preserve"> et al., 2025; </w:t>
      </w:r>
      <w:proofErr w:type="spellStart"/>
      <w:r w:rsidRPr="002B1FEE">
        <w:rPr>
          <w:rFonts w:ascii="Cambria" w:eastAsia="Cambria" w:hAnsi="Cambria" w:cs="Cambria"/>
          <w:lang w:val="en-US"/>
        </w:rPr>
        <w:t>Holovina</w:t>
      </w:r>
      <w:proofErr w:type="spellEnd"/>
      <w:r w:rsidRPr="002B1FEE">
        <w:rPr>
          <w:rFonts w:ascii="Cambria" w:eastAsia="Cambria" w:hAnsi="Cambria" w:cs="Cambria"/>
          <w:lang w:val="en-US"/>
        </w:rPr>
        <w:t xml:space="preserve"> et al., 2022; Ilakkiya, 2024). As a result, IFRS has become the dominant accounting framework worldwide, with only a limited number of jurisdictions continuing to rely exclusively on domestic accounting standards (</w:t>
      </w:r>
      <w:proofErr w:type="spellStart"/>
      <w:r w:rsidRPr="002B1FEE">
        <w:rPr>
          <w:rFonts w:ascii="Cambria" w:eastAsia="Cambria" w:hAnsi="Cambria" w:cs="Cambria"/>
          <w:lang w:val="en-US"/>
        </w:rPr>
        <w:t>Holovina</w:t>
      </w:r>
      <w:proofErr w:type="spellEnd"/>
      <w:r w:rsidRPr="002B1FEE">
        <w:rPr>
          <w:rFonts w:ascii="Cambria" w:eastAsia="Cambria" w:hAnsi="Cambria" w:cs="Cambria"/>
          <w:lang w:val="en-US"/>
        </w:rPr>
        <w:t xml:space="preserve"> et al., 2022; </w:t>
      </w:r>
      <w:proofErr w:type="spellStart"/>
      <w:r w:rsidRPr="002B1FEE">
        <w:rPr>
          <w:rFonts w:ascii="Cambria" w:eastAsia="Cambria" w:hAnsi="Cambria" w:cs="Cambria"/>
          <w:lang w:val="en-US"/>
        </w:rPr>
        <w:t>Imamova</w:t>
      </w:r>
      <w:proofErr w:type="spellEnd"/>
      <w:r w:rsidRPr="002B1FEE">
        <w:rPr>
          <w:rFonts w:ascii="Cambria" w:eastAsia="Cambria" w:hAnsi="Cambria" w:cs="Cambria"/>
          <w:lang w:val="en-US"/>
        </w:rPr>
        <w:t>, 2025).</w:t>
      </w:r>
    </w:p>
    <w:p w14:paraId="0D0FBAB5"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 xml:space="preserve">One of the primary motivations behind IFRS convergence is the desire to enhance the comparability and transparency of financial reporting. Financial statements prepared under harmonized accounting standards allow investors to compare the financial performance of firms operating in different countries more effectively. This </w:t>
      </w:r>
      <w:r w:rsidRPr="002B1FEE">
        <w:rPr>
          <w:rFonts w:ascii="Cambria" w:eastAsia="Cambria" w:hAnsi="Cambria" w:cs="Cambria"/>
          <w:lang w:val="en-US"/>
        </w:rPr>
        <w:lastRenderedPageBreak/>
        <w:t>comparability reduces information asymmetry and enables more efficient allocation of capital across global markets. Empirical evidence suggests that IFRS adoption improves the transparency and accountability of corporate financial reporting by strengthening disclosure requirements and standardizing accounting practices across jurisdictions (</w:t>
      </w:r>
      <w:proofErr w:type="spellStart"/>
      <w:r w:rsidRPr="002B1FEE">
        <w:rPr>
          <w:rFonts w:ascii="Cambria" w:eastAsia="Cambria" w:hAnsi="Cambria" w:cs="Cambria"/>
          <w:lang w:val="en-US"/>
        </w:rPr>
        <w:t>Lawalata</w:t>
      </w:r>
      <w:proofErr w:type="spellEnd"/>
      <w:r w:rsidRPr="002B1FEE">
        <w:rPr>
          <w:rFonts w:ascii="Cambria" w:eastAsia="Cambria" w:hAnsi="Cambria" w:cs="Cambria"/>
          <w:lang w:val="en-US"/>
        </w:rPr>
        <w:t xml:space="preserve"> &amp; Salle, 2024; </w:t>
      </w:r>
      <w:proofErr w:type="spellStart"/>
      <w:r w:rsidRPr="002B1FEE">
        <w:rPr>
          <w:rFonts w:ascii="Cambria" w:eastAsia="Cambria" w:hAnsi="Cambria" w:cs="Cambria"/>
          <w:lang w:val="en-US"/>
        </w:rPr>
        <w:t>Šuvakov</w:t>
      </w:r>
      <w:proofErr w:type="spellEnd"/>
      <w:r w:rsidRPr="002B1FEE">
        <w:rPr>
          <w:rFonts w:ascii="Cambria" w:eastAsia="Cambria" w:hAnsi="Cambria" w:cs="Cambria"/>
          <w:lang w:val="en-US"/>
        </w:rPr>
        <w:t xml:space="preserve"> &amp; Sekicki, 2025; Ilakkiya, 2024; </w:t>
      </w:r>
      <w:proofErr w:type="spellStart"/>
      <w:r w:rsidRPr="002B1FEE">
        <w:rPr>
          <w:rFonts w:ascii="Cambria" w:eastAsia="Cambria" w:hAnsi="Cambria" w:cs="Cambria"/>
          <w:lang w:val="en-US"/>
        </w:rPr>
        <w:t>Hehanussa</w:t>
      </w:r>
      <w:proofErr w:type="spellEnd"/>
      <w:r w:rsidRPr="002B1FEE">
        <w:rPr>
          <w:rFonts w:ascii="Cambria" w:eastAsia="Cambria" w:hAnsi="Cambria" w:cs="Cambria"/>
          <w:lang w:val="en-US"/>
        </w:rPr>
        <w:t>, 2025). These improvements are particularly important for international investors who rely on financial statements to evaluate corporate performance and risk profiles. By promoting greater transparency and comparability, IFRS convergence contributes to the credibility of financial information and enhances investor confidence in global capital markets.</w:t>
      </w:r>
    </w:p>
    <w:p w14:paraId="2F7A7471"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In addition to improving transparency and comparability, the harmonization of accounting standards also facilitates cross-border economic activities. Multinational corporations operating in multiple jurisdictions often face significant reporting costs when they are required to prepare financial statements under different national accounting standards. The convergence toward IFRS reduces these costs by allowing firms to use a single set of accounting principles for financial reporting across multiple markets. This standardization simplifies financial reporting processes and improves the efficiency of multinational corporate operations. Furthermore, harmonized accounting standards support cross-border mergers and acquisitions by providing consistent financial information that can be easily interpreted by investors and regulators in different countries. Studies indicate that IFRS adoption contributes to increased cross-border capital flows and facilitates the integration of global financial markets (Ilakkiya, 2024; Mohan &amp; Tambe, 2025). These findings suggest that accounting harmonization plays an important role in supporting international economic integration.</w:t>
      </w:r>
    </w:p>
    <w:p w14:paraId="07D1DFDB"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Despite these benefits, the implementation of IFRS convergence has encountered various challenges, particularly in developing countries and emerging economies. The adoption of international accounting standards requires substantial institutional and organizational adjustments, including changes to regulatory frameworks, professional accounting practices, and corporate governance structures. Differences in legal systems, cultural norms, and levels of professional expertise may influence how IFRS is interpreted and implemented in different countries. In many developing economies, limited institutional capacity and regulatory enforcement mechanisms may constrain the effectiveness of IFRS adoption. Moreover, the transition toward IFRS can impose significant compliance costs on companies, particularly small and medium-sized enterprises that lack the financial and technical resources required to implement complex accounting standards. Studies highlight that regulatory differences, cultural contexts, and human resource capacity remain key challenges in the implementation of IFRS, especially among SMEs and firms operating in developing countries (</w:t>
      </w:r>
      <w:proofErr w:type="spellStart"/>
      <w:r w:rsidRPr="002B1FEE">
        <w:rPr>
          <w:rFonts w:ascii="Cambria" w:eastAsia="Cambria" w:hAnsi="Cambria" w:cs="Cambria"/>
          <w:lang w:val="en-US"/>
        </w:rPr>
        <w:t>Syahrani</w:t>
      </w:r>
      <w:proofErr w:type="spellEnd"/>
      <w:r w:rsidRPr="002B1FEE">
        <w:rPr>
          <w:rFonts w:ascii="Cambria" w:eastAsia="Cambria" w:hAnsi="Cambria" w:cs="Cambria"/>
          <w:lang w:val="en-US"/>
        </w:rPr>
        <w:t xml:space="preserve"> et al., 2025; Gök, 2024; </w:t>
      </w:r>
      <w:proofErr w:type="spellStart"/>
      <w:r w:rsidRPr="002B1FEE">
        <w:rPr>
          <w:rFonts w:ascii="Cambria" w:eastAsia="Cambria" w:hAnsi="Cambria" w:cs="Cambria"/>
          <w:lang w:val="en-US"/>
        </w:rPr>
        <w:t>Šuvakov</w:t>
      </w:r>
      <w:proofErr w:type="spellEnd"/>
      <w:r w:rsidRPr="002B1FEE">
        <w:rPr>
          <w:rFonts w:ascii="Cambria" w:eastAsia="Cambria" w:hAnsi="Cambria" w:cs="Cambria"/>
          <w:lang w:val="en-US"/>
        </w:rPr>
        <w:t xml:space="preserve"> &amp; Sekicki, 2025; Sánchez-Caguana, 2023). These findings indicate that while IFRS convergence aims to standardize financial reporting globally, the outcomes of its implementation may vary depending on national institutional contexts.</w:t>
      </w:r>
    </w:p>
    <w:p w14:paraId="19858F01"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 xml:space="preserve">A central argument supporting IFRS convergence is that it enhances the quality of financial reporting. High-quality financial reporting is essential for ensuring transparency, reducing information asymmetry, and supporting efficient capital market operations. Several empirical studies have found that the adoption of IFRS is associated with improvements in financial reporting quality through multiple mechanisms. First, IFRS promotes greater transparency by requiring more comprehensive disclosure of financial information. Second, the principles-based nature of IFRS encourages firms to report financial transactions in a manner that reflects their underlying economic substance rather than merely complying with formal rules. Third, IFRS adoption has been associated with reductions in earnings management practices and improvements in the </w:t>
      </w:r>
      <w:r w:rsidRPr="002B1FEE">
        <w:rPr>
          <w:rFonts w:ascii="Cambria" w:eastAsia="Cambria" w:hAnsi="Cambria" w:cs="Cambria"/>
          <w:lang w:val="en-US"/>
        </w:rPr>
        <w:lastRenderedPageBreak/>
        <w:t>timeliness of loss recognition. These improvements enhance the reliability and relevance of accounting information for investors and other stakeholders. Empirical evidence indicates that firms adopting IFRS tend to exhibit lower levels of discretionary accruals, higher value relevance of accounting information, and improved comparability of financial statements (</w:t>
      </w:r>
      <w:proofErr w:type="spellStart"/>
      <w:r w:rsidRPr="002B1FEE">
        <w:rPr>
          <w:rFonts w:ascii="Cambria" w:eastAsia="Cambria" w:hAnsi="Cambria" w:cs="Cambria"/>
          <w:lang w:val="en-US"/>
        </w:rPr>
        <w:t>Lawalata</w:t>
      </w:r>
      <w:proofErr w:type="spellEnd"/>
      <w:r w:rsidRPr="002B1FEE">
        <w:rPr>
          <w:rFonts w:ascii="Cambria" w:eastAsia="Cambria" w:hAnsi="Cambria" w:cs="Cambria"/>
          <w:lang w:val="en-US"/>
        </w:rPr>
        <w:t xml:space="preserve"> &amp; Salle, 2024; Himanshu &amp; Baker, 2025; Adhikari et al., 2021; Siregar et al., 2025; Mohan &amp; Tambe, 2025; N. et al., 2024; </w:t>
      </w:r>
      <w:proofErr w:type="spellStart"/>
      <w:r w:rsidRPr="002B1FEE">
        <w:rPr>
          <w:rFonts w:ascii="Cambria" w:eastAsia="Cambria" w:hAnsi="Cambria" w:cs="Cambria"/>
          <w:lang w:val="en-US"/>
        </w:rPr>
        <w:t>Rouvolis</w:t>
      </w:r>
      <w:proofErr w:type="spellEnd"/>
      <w:r w:rsidRPr="002B1FEE">
        <w:rPr>
          <w:rFonts w:ascii="Cambria" w:eastAsia="Cambria" w:hAnsi="Cambria" w:cs="Cambria"/>
          <w:lang w:val="en-US"/>
        </w:rPr>
        <w:t xml:space="preserve">, 2022; </w:t>
      </w:r>
      <w:proofErr w:type="spellStart"/>
      <w:r w:rsidRPr="002B1FEE">
        <w:rPr>
          <w:rFonts w:ascii="Cambria" w:eastAsia="Cambria" w:hAnsi="Cambria" w:cs="Cambria"/>
          <w:lang w:val="en-US"/>
        </w:rPr>
        <w:t>Cărea</w:t>
      </w:r>
      <w:proofErr w:type="spellEnd"/>
      <w:r w:rsidRPr="002B1FEE">
        <w:rPr>
          <w:rFonts w:ascii="Cambria" w:eastAsia="Cambria" w:hAnsi="Cambria" w:cs="Cambria"/>
          <w:lang w:val="en-US"/>
        </w:rPr>
        <w:t xml:space="preserve"> &amp; </w:t>
      </w:r>
      <w:proofErr w:type="spellStart"/>
      <w:r w:rsidRPr="002B1FEE">
        <w:rPr>
          <w:rFonts w:ascii="Cambria" w:eastAsia="Cambria" w:hAnsi="Cambria" w:cs="Cambria"/>
          <w:lang w:val="en-US"/>
        </w:rPr>
        <w:t>Mișu</w:t>
      </w:r>
      <w:proofErr w:type="spellEnd"/>
      <w:r w:rsidRPr="002B1FEE">
        <w:rPr>
          <w:rFonts w:ascii="Cambria" w:eastAsia="Cambria" w:hAnsi="Cambria" w:cs="Cambria"/>
          <w:lang w:val="en-US"/>
        </w:rPr>
        <w:t>, 2025).</w:t>
      </w:r>
    </w:p>
    <w:p w14:paraId="33CBE6EA"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However, the impact of IFRS convergence on financial reporting quality is not uniform across countries. The effectiveness of international accounting standards depends heavily on the institutional environment in which they are implemented. Countries with strong regulatory frameworks, effective legal enforcement mechanisms, and well-developed corporate governance systems tend to experience greater improvements in financial reporting quality following IFRS adoption. In these contexts, firms face stronger incentives to comply with disclosure requirements and maintain transparent reporting practices. Studies demonstrate that the positive effects of IFRS adoption are significantly stronger in countries with robust legal enforcement and high-quality governance institutions (</w:t>
      </w:r>
      <w:proofErr w:type="spellStart"/>
      <w:r w:rsidRPr="002B1FEE">
        <w:rPr>
          <w:rFonts w:ascii="Cambria" w:eastAsia="Cambria" w:hAnsi="Cambria" w:cs="Cambria"/>
          <w:lang w:val="en-US"/>
        </w:rPr>
        <w:t>Lawalata</w:t>
      </w:r>
      <w:proofErr w:type="spellEnd"/>
      <w:r w:rsidRPr="002B1FEE">
        <w:rPr>
          <w:rFonts w:ascii="Cambria" w:eastAsia="Cambria" w:hAnsi="Cambria" w:cs="Cambria"/>
          <w:lang w:val="en-US"/>
        </w:rPr>
        <w:t xml:space="preserve"> &amp; Salle, 2024; Himanshu &amp; Baker, 2025; N. et al., 2024). This finding highlights the importance of institutional support in ensuring that accounting standards are implemented effectively and achieve their intended objectives.</w:t>
      </w:r>
    </w:p>
    <w:p w14:paraId="306678C6"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Nevertheless, the empirical evidence regarding IFRS convergence remains mixed. While many studies report improvements in financial reporting quality, others highlight transitional challenges and inconsistent outcomes. For example, research examining the adoption of Indian Accounting Standards (Ind AS), which are converged with IFRS, found that financial reporting quality initially declined during the early stages of implementation. The study observed an increase in discretionary accruals and less timely recognition of losses immediately following the adoption of the new standards. However, over time, these issues gradually diminished as firms and accounting professionals gained experience with the new reporting framework. This phenomenon reflects a learning curve associated with the adoption of complex accounting standards (Adhikari et al., 2021). These findings suggest that the benefits of IFRS convergence may not be immediate and may depend on the extent to which organizations and accounting professionals adapt to the new standards.</w:t>
      </w:r>
    </w:p>
    <w:p w14:paraId="66340EA2"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Similarly, research conducted in Portugal reveals that the adoption of IFRS has enhanced the legitimacy of financial reporting practices but has not necessarily produced substantial economic benefits in all contexts. The study indicates that the coexistence of IFRS with a traditional code-law legal system may limit the effectiveness of accounting harmonization reforms. In such environments, firms may formally adopt international accounting standards without fully changing their underlying reporting practices, leading to a phenomenon known as institutional decoupling (Silva et al., 2023). These findings illustrate the complex relationship between global accounting standards and national institutional structures, emphasizing that accounting harmonization alone cannot guarantee improvements in financial reporting quality.</w:t>
      </w:r>
    </w:p>
    <w:p w14:paraId="76223A5C"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 xml:space="preserve">The mixed empirical findings regarding IFRS convergence highlight the need for further research to better understand its broader implications. Bibliometric analyses indicate that much of the existing literature on IFRS focuses on technical aspects of financial reporting, such as earnings management, disclosure quality, and value relevance. While these studies provide valuable insights into the effects of accounting standards on financial reporting outcomes, they often overlook the behavioral responses of key stakeholders involved in the financial reporting process. The perspectives and actions of preparers, auditors, investors, and regulators play an important role in shaping </w:t>
      </w:r>
      <w:r w:rsidRPr="002B1FEE">
        <w:rPr>
          <w:rFonts w:ascii="Cambria" w:eastAsia="Cambria" w:hAnsi="Cambria" w:cs="Cambria"/>
          <w:lang w:val="en-US"/>
        </w:rPr>
        <w:lastRenderedPageBreak/>
        <w:t>how accounting standards are interpreted and applied in practice. However, relatively few studies have examined these behavioral dimensions of accounting convergence (Bathla et al., 2023).</w:t>
      </w:r>
    </w:p>
    <w:p w14:paraId="1A25CFA3"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In addition, systematic reviews of research on IFRS-converged accounting systems have identified several important gaps in the literature. For instance, relatively limited attention has been given to the ethical implications of financial reporting under IFRS, including issues related to reporting integrity and transparency. The increasing complexity of IFRS-based financial statements has also raised concerns regarding the readability and accessibility of financial disclosures for investors and other stakeholders. However, these issues remain underexplored in the accounting literature. Furthermore, the costs associated with implementing IFRS, particularly for smaller firms, have not been thoroughly examined in many studies (N. et al., 2024). Understanding these aspects is essential for evaluating the broader impact of accounting harmonization reforms.</w:t>
      </w:r>
    </w:p>
    <w:p w14:paraId="379B6F91"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Another significant research gap concerns the long-term economic consequences of IFRS convergence. While many studies focus on the immediate effects of IFRS adoption, relatively few investigations examine how international accounting standards influence long-term corporate outcomes such as firm performance, cost of capital, and sustainability reporting practices. Scholars emphasize the need for more comprehensive research that considers the broader economic implications of accounting convergence across different institutional contexts (Himanshu &amp; Baker, 2025; N. et al., 2024; Rizvi, 2024). Such research would provide valuable insights into how accounting harmonization contributes to sustainable corporate governance and long-term economic development.</w:t>
      </w:r>
    </w:p>
    <w:p w14:paraId="6113CEDD" w14:textId="77777777" w:rsidR="002B1FEE" w:rsidRPr="002B1FEE"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Finally, the literature also highlights the importance of examining IFRS implementation in specific sectors and organizational contexts that may face unique challenges. Small and medium-sized enterprises, for example, often lack the financial resources and technical expertise required to adopt complex accounting standards. Similarly, specialized financial sectors such as Islamic banking may require adaptations to IFRS to ensure compatibility with Sharia-based financial principles. Studies emphasize the need for further research on IFRS for SMEs and sector-specific accounting frameworks in order to better understand how international standards can be effectively implemented across diverse economic environments (</w:t>
      </w:r>
      <w:proofErr w:type="spellStart"/>
      <w:r w:rsidRPr="002B1FEE">
        <w:rPr>
          <w:rFonts w:ascii="Cambria" w:eastAsia="Cambria" w:hAnsi="Cambria" w:cs="Cambria"/>
          <w:lang w:val="en-US"/>
        </w:rPr>
        <w:t>Syahrani</w:t>
      </w:r>
      <w:proofErr w:type="spellEnd"/>
      <w:r w:rsidRPr="002B1FEE">
        <w:rPr>
          <w:rFonts w:ascii="Cambria" w:eastAsia="Cambria" w:hAnsi="Cambria" w:cs="Cambria"/>
          <w:lang w:val="en-US"/>
        </w:rPr>
        <w:t xml:space="preserve"> et al., 2025; Gök, 2024; </w:t>
      </w:r>
      <w:proofErr w:type="spellStart"/>
      <w:r w:rsidRPr="002B1FEE">
        <w:rPr>
          <w:rFonts w:ascii="Cambria" w:eastAsia="Cambria" w:hAnsi="Cambria" w:cs="Cambria"/>
          <w:lang w:val="en-US"/>
        </w:rPr>
        <w:t>Šuvakov</w:t>
      </w:r>
      <w:proofErr w:type="spellEnd"/>
      <w:r w:rsidRPr="002B1FEE">
        <w:rPr>
          <w:rFonts w:ascii="Cambria" w:eastAsia="Cambria" w:hAnsi="Cambria" w:cs="Cambria"/>
          <w:lang w:val="en-US"/>
        </w:rPr>
        <w:t xml:space="preserve"> &amp; Sekicki, 2025; Sujana &amp; </w:t>
      </w:r>
      <w:proofErr w:type="spellStart"/>
      <w:r w:rsidRPr="002B1FEE">
        <w:rPr>
          <w:rFonts w:ascii="Cambria" w:eastAsia="Cambria" w:hAnsi="Cambria" w:cs="Cambria"/>
          <w:lang w:val="en-US"/>
        </w:rPr>
        <w:t>Mukhlisin</w:t>
      </w:r>
      <w:proofErr w:type="spellEnd"/>
      <w:r w:rsidRPr="002B1FEE">
        <w:rPr>
          <w:rFonts w:ascii="Cambria" w:eastAsia="Cambria" w:hAnsi="Cambria" w:cs="Cambria"/>
          <w:lang w:val="en-US"/>
        </w:rPr>
        <w:t>, 2025).</w:t>
      </w:r>
    </w:p>
    <w:p w14:paraId="4FF3CF2C" w14:textId="77777777" w:rsidR="00C87D99" w:rsidRPr="00C87D99" w:rsidRDefault="002B1FEE" w:rsidP="002B1FEE">
      <w:pPr>
        <w:pBdr>
          <w:top w:val="nil"/>
          <w:left w:val="nil"/>
          <w:bottom w:val="nil"/>
          <w:right w:val="nil"/>
          <w:between w:val="nil"/>
        </w:pBdr>
        <w:ind w:firstLine="709"/>
        <w:jc w:val="both"/>
        <w:rPr>
          <w:rFonts w:ascii="Cambria" w:eastAsia="Cambria" w:hAnsi="Cambria" w:cs="Cambria"/>
          <w:lang w:val="en-US"/>
        </w:rPr>
      </w:pPr>
      <w:r w:rsidRPr="002B1FEE">
        <w:rPr>
          <w:rFonts w:ascii="Cambria" w:eastAsia="Cambria" w:hAnsi="Cambria" w:cs="Cambria"/>
          <w:lang w:val="en-US"/>
        </w:rPr>
        <w:t>Overall, the discussion demonstrates that IFRS convergence represents a significant institutional response to the challenges of globalization and financial market integration. While the adoption of international accounting standards has the potential to improve financial reporting quality by enhancing transparency, comparability, and accountability, its impact is not uniform across countries. Institutional factors, regulatory enforcement, organizational capabilities, and professional expertise all influence how IFRS is implemented and how effectively it improves financial reporting practices. These findings support the objective of this study by demonstrating that although IFRS convergence contributes to improvements in financial reporting quality, its effectiveness depends on broader institutional and contextual factors, and several important research gaps remain that require further scholarly investigation.</w:t>
      </w:r>
    </w:p>
    <w:p w14:paraId="575FB17C" w14:textId="77777777" w:rsidR="00C87D99" w:rsidRDefault="00C87D99" w:rsidP="00C87D99">
      <w:pPr>
        <w:pBdr>
          <w:top w:val="nil"/>
          <w:left w:val="nil"/>
          <w:bottom w:val="nil"/>
          <w:right w:val="nil"/>
          <w:between w:val="nil"/>
        </w:pBdr>
        <w:jc w:val="both"/>
        <w:rPr>
          <w:rFonts w:ascii="Cambria" w:eastAsia="Cambria" w:hAnsi="Cambria" w:cs="Cambria"/>
          <w:i/>
          <w:color w:val="000000"/>
        </w:rPr>
      </w:pPr>
    </w:p>
    <w:p w14:paraId="0D28CE79" w14:textId="77777777" w:rsidR="004069F7" w:rsidRDefault="00E008BF">
      <w:pPr>
        <w:pBdr>
          <w:top w:val="nil"/>
          <w:left w:val="nil"/>
          <w:bottom w:val="nil"/>
          <w:right w:val="nil"/>
          <w:between w:val="nil"/>
        </w:pBdr>
        <w:jc w:val="both"/>
        <w:rPr>
          <w:rFonts w:ascii="Cambria" w:eastAsia="Cambria" w:hAnsi="Cambria" w:cs="Cambria"/>
          <w:b/>
        </w:rPr>
      </w:pPr>
      <w:r>
        <w:rPr>
          <w:rFonts w:ascii="Cambria" w:eastAsia="Cambria" w:hAnsi="Cambria" w:cs="Cambria"/>
          <w:b/>
        </w:rPr>
        <w:t xml:space="preserve">CONCLUSIONS </w:t>
      </w:r>
    </w:p>
    <w:p w14:paraId="7185A510" w14:textId="77777777" w:rsidR="00FB08E9" w:rsidRPr="002B1FEE" w:rsidRDefault="002B1FEE" w:rsidP="002B1FEE">
      <w:pPr>
        <w:pBdr>
          <w:top w:val="nil"/>
          <w:left w:val="nil"/>
          <w:bottom w:val="nil"/>
          <w:right w:val="nil"/>
          <w:between w:val="nil"/>
        </w:pBdr>
        <w:spacing w:after="240"/>
        <w:ind w:firstLine="720"/>
        <w:jc w:val="both"/>
        <w:rPr>
          <w:rFonts w:ascii="Cambria" w:eastAsia="Cambria" w:hAnsi="Cambria" w:cs="Cambria"/>
          <w:lang w:val="en-US"/>
        </w:rPr>
      </w:pPr>
      <w:r w:rsidRPr="002B1FEE">
        <w:rPr>
          <w:rFonts w:ascii="Cambria" w:eastAsia="Cambria" w:hAnsi="Cambria" w:cs="Cambria"/>
        </w:rPr>
        <w:t xml:space="preserve">The findings of this study show that the convergence of International Financial Reporting Standards (IFRS) is an important response to the globalization of financial markets and the need for harmonized financial reporting practices. IFRS adoption generally improves the quality of financial reporting by increasing transparency, </w:t>
      </w:r>
      <w:r w:rsidRPr="002B1FEE">
        <w:rPr>
          <w:rFonts w:ascii="Cambria" w:eastAsia="Cambria" w:hAnsi="Cambria" w:cs="Cambria"/>
        </w:rPr>
        <w:lastRenderedPageBreak/>
        <w:t>comparability, and the relevance of accounting information, while also reducing earnings management and information asymmetry in capital markets. However, the impact of IFRS convergence is not uniform across countries because its effectiveness depends on institutional factors such as regulatory enforcement, corporate governance, and the capacity of accounting professionals. In some contexts, especially in developing countries and smaller firms, the implementation of IFRS may initially create challenges such as higher reporting complexity and compliance costs. Therefore, although IFRS convergence has the potential to enhance financial reporting quality and support global financial integration, its success depends on the institutional readiness of each country. These findings highlight the importance of continuous evaluation of IFRS implementation and further research on its long-term effects, stakeholder responses, and sector-specific applications.</w:t>
      </w:r>
    </w:p>
    <w:p w14:paraId="2F1A3DFD" w14:textId="77777777" w:rsidR="004069F7" w:rsidRDefault="00E008BF" w:rsidP="00FB08E9">
      <w:pPr>
        <w:pBdr>
          <w:top w:val="nil"/>
          <w:left w:val="nil"/>
          <w:bottom w:val="nil"/>
          <w:right w:val="nil"/>
          <w:between w:val="nil"/>
        </w:pBdr>
        <w:spacing w:after="240"/>
        <w:jc w:val="both"/>
        <w:rPr>
          <w:rFonts w:ascii="Cambria" w:eastAsia="Cambria" w:hAnsi="Cambria" w:cs="Cambria"/>
          <w:b/>
        </w:rPr>
      </w:pPr>
      <w:r>
        <w:rPr>
          <w:rFonts w:ascii="Cambria" w:eastAsia="Cambria" w:hAnsi="Cambria" w:cs="Cambria"/>
          <w:b/>
        </w:rPr>
        <w:t>REFERENCE</w:t>
      </w:r>
    </w:p>
    <w:p w14:paraId="1CC8F166" w14:textId="77777777" w:rsidR="002B1FEE" w:rsidRPr="002B1FEE" w:rsidRDefault="002B1FEE" w:rsidP="00A431BD">
      <w:pPr>
        <w:pStyle w:val="NormalWeb"/>
        <w:spacing w:before="0" w:beforeAutospacing="0" w:after="0" w:afterAutospacing="0"/>
        <w:ind w:left="720" w:hanging="654"/>
        <w:jc w:val="both"/>
        <w:rPr>
          <w:rFonts w:ascii="Cambria" w:hAnsi="Cambria"/>
        </w:rPr>
      </w:pPr>
      <w:bookmarkStart w:id="0" w:name="_heading=h.gjdgxs" w:colFirst="0" w:colLast="0"/>
      <w:bookmarkEnd w:id="0"/>
      <w:r w:rsidRPr="002B1FEE">
        <w:rPr>
          <w:rFonts w:ascii="Cambria" w:hAnsi="Cambria"/>
        </w:rPr>
        <w:t xml:space="preserve">Adhikari, A., Bansal, M., &amp; Kumar, A. (2021). IFRS convergence and accounting quality: India a case study. </w:t>
      </w:r>
      <w:r w:rsidRPr="002B1FEE">
        <w:rPr>
          <w:rStyle w:val="Emphasis"/>
          <w:rFonts w:ascii="Cambria" w:hAnsi="Cambria"/>
        </w:rPr>
        <w:t>Journal of International Accounting, Auditing and Taxation.</w:t>
      </w:r>
      <w:r w:rsidRPr="002B1FEE">
        <w:rPr>
          <w:rFonts w:ascii="Cambria" w:hAnsi="Cambria"/>
        </w:rPr>
        <w:t xml:space="preserve"> </w:t>
      </w:r>
      <w:hyperlink r:id="rId9" w:tgtFrame="_new" w:history="1">
        <w:r w:rsidRPr="002B1FEE">
          <w:rPr>
            <w:rStyle w:val="Hyperlink"/>
            <w:rFonts w:ascii="Cambria" w:hAnsi="Cambria"/>
          </w:rPr>
          <w:t>https://doi.org/10.1016/j.intaccaudtax.2021.100430</w:t>
        </w:r>
      </w:hyperlink>
    </w:p>
    <w:p w14:paraId="63E18B67"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Bathla, S., Sharma, A., &amp; </w:t>
      </w:r>
      <w:proofErr w:type="spellStart"/>
      <w:r w:rsidRPr="002B1FEE">
        <w:rPr>
          <w:rFonts w:ascii="Cambria" w:hAnsi="Cambria"/>
        </w:rPr>
        <w:t>Kandpal</w:t>
      </w:r>
      <w:proofErr w:type="spellEnd"/>
      <w:r w:rsidRPr="002B1FEE">
        <w:rPr>
          <w:rFonts w:ascii="Cambria" w:hAnsi="Cambria"/>
        </w:rPr>
        <w:t xml:space="preserve">, V. (2023). Stakeholders’ response to IFRS adoption/convergence on accounting quality and disclosures: A bibliometric review of Scopus database. </w:t>
      </w:r>
      <w:proofErr w:type="spellStart"/>
      <w:r w:rsidRPr="002B1FEE">
        <w:rPr>
          <w:rStyle w:val="Emphasis"/>
          <w:rFonts w:ascii="Cambria" w:hAnsi="Cambria"/>
        </w:rPr>
        <w:t>Heliyon</w:t>
      </w:r>
      <w:proofErr w:type="spellEnd"/>
      <w:r w:rsidRPr="002B1FEE">
        <w:rPr>
          <w:rStyle w:val="Emphasis"/>
          <w:rFonts w:ascii="Cambria" w:hAnsi="Cambria"/>
        </w:rPr>
        <w:t>.</w:t>
      </w:r>
      <w:r w:rsidRPr="002B1FEE">
        <w:rPr>
          <w:rFonts w:ascii="Cambria" w:hAnsi="Cambria"/>
        </w:rPr>
        <w:t xml:space="preserve"> </w:t>
      </w:r>
      <w:hyperlink r:id="rId10" w:tgtFrame="_new" w:history="1">
        <w:r w:rsidRPr="002B1FEE">
          <w:rPr>
            <w:rStyle w:val="Hyperlink"/>
            <w:rFonts w:ascii="Cambria" w:hAnsi="Cambria"/>
          </w:rPr>
          <w:t>https://doi.org/10.1016/j.heliyon.2023.e23912</w:t>
        </w:r>
      </w:hyperlink>
    </w:p>
    <w:p w14:paraId="5EADD4D8"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Cărea</w:t>
      </w:r>
      <w:proofErr w:type="spellEnd"/>
      <w:r w:rsidRPr="002B1FEE">
        <w:rPr>
          <w:rFonts w:ascii="Cambria" w:hAnsi="Cambria"/>
        </w:rPr>
        <w:t xml:space="preserve">, A., &amp; </w:t>
      </w:r>
      <w:proofErr w:type="spellStart"/>
      <w:r w:rsidRPr="002B1FEE">
        <w:rPr>
          <w:rFonts w:ascii="Cambria" w:hAnsi="Cambria"/>
        </w:rPr>
        <w:t>Mișu</w:t>
      </w:r>
      <w:proofErr w:type="spellEnd"/>
      <w:r w:rsidRPr="002B1FEE">
        <w:rPr>
          <w:rFonts w:ascii="Cambria" w:hAnsi="Cambria"/>
        </w:rPr>
        <w:t xml:space="preserve">, S. (2025). The relevance of accounting information on the Romanian capital market in the era of artificial intelligence: Transformations and opportunities. </w:t>
      </w:r>
      <w:r w:rsidRPr="002B1FEE">
        <w:rPr>
          <w:rStyle w:val="Emphasis"/>
          <w:rFonts w:ascii="Cambria" w:hAnsi="Cambria"/>
        </w:rPr>
        <w:t>Proceedings of the International Management Conference.</w:t>
      </w:r>
      <w:r w:rsidRPr="002B1FEE">
        <w:rPr>
          <w:rFonts w:ascii="Cambria" w:hAnsi="Cambria"/>
        </w:rPr>
        <w:t xml:space="preserve"> </w:t>
      </w:r>
      <w:hyperlink r:id="rId11" w:tgtFrame="_new" w:history="1">
        <w:r w:rsidRPr="002B1FEE">
          <w:rPr>
            <w:rStyle w:val="Hyperlink"/>
            <w:rFonts w:ascii="Cambria" w:hAnsi="Cambria"/>
          </w:rPr>
          <w:t>https://doi.org/10.24818/imc/2024/03.02</w:t>
        </w:r>
      </w:hyperlink>
    </w:p>
    <w:p w14:paraId="4DCB47EC"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Gök, G. (2024). International financial reporting standards convergence process for small and medium-sized entities. </w:t>
      </w:r>
      <w:r w:rsidRPr="002B1FEE">
        <w:rPr>
          <w:rStyle w:val="Emphasis"/>
          <w:rFonts w:ascii="Cambria" w:hAnsi="Cambria"/>
        </w:rPr>
        <w:t>International Journal of Engineering and Management Sciences.</w:t>
      </w:r>
      <w:r w:rsidRPr="002B1FEE">
        <w:rPr>
          <w:rFonts w:ascii="Cambria" w:hAnsi="Cambria"/>
        </w:rPr>
        <w:t xml:space="preserve"> </w:t>
      </w:r>
      <w:hyperlink r:id="rId12" w:tgtFrame="_new" w:history="1">
        <w:r w:rsidRPr="002B1FEE">
          <w:rPr>
            <w:rStyle w:val="Hyperlink"/>
            <w:rFonts w:ascii="Cambria" w:hAnsi="Cambria"/>
          </w:rPr>
          <w:t>https://doi.org/10.21791/ijems.2024.004</w:t>
        </w:r>
      </w:hyperlink>
    </w:p>
    <w:p w14:paraId="0A930054"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Hehanussa</w:t>
      </w:r>
      <w:proofErr w:type="spellEnd"/>
      <w:r w:rsidRPr="002B1FEE">
        <w:rPr>
          <w:rFonts w:ascii="Cambria" w:hAnsi="Cambria"/>
        </w:rPr>
        <w:t xml:space="preserve">, S. (2025). The evolution of financial reporting standards: Impacts on transparency and accountability in corporate governance. </w:t>
      </w:r>
      <w:r w:rsidRPr="002B1FEE">
        <w:rPr>
          <w:rStyle w:val="Emphasis"/>
          <w:rFonts w:ascii="Cambria" w:hAnsi="Cambria"/>
        </w:rPr>
        <w:t>International Journal of Accounting and Economics Studies.</w:t>
      </w:r>
      <w:r w:rsidRPr="002B1FEE">
        <w:rPr>
          <w:rFonts w:ascii="Cambria" w:hAnsi="Cambria"/>
        </w:rPr>
        <w:t xml:space="preserve"> </w:t>
      </w:r>
      <w:hyperlink r:id="rId13" w:tgtFrame="_new" w:history="1">
        <w:r w:rsidRPr="002B1FEE">
          <w:rPr>
            <w:rStyle w:val="Hyperlink"/>
            <w:rFonts w:ascii="Cambria" w:hAnsi="Cambria"/>
          </w:rPr>
          <w:t>https://doi.org/10.14419/rnqsta59</w:t>
        </w:r>
      </w:hyperlink>
    </w:p>
    <w:p w14:paraId="448056F4"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Himanshu, H., &amp; Baker, K. (2025). The impact of contemporary accounting reform on financial reporting quality: Evidence from an emerging economy. </w:t>
      </w:r>
      <w:r w:rsidRPr="002B1FEE">
        <w:rPr>
          <w:rStyle w:val="Emphasis"/>
          <w:rFonts w:ascii="Cambria" w:hAnsi="Cambria"/>
        </w:rPr>
        <w:t>Journal of Accounting in Emerging Economies.</w:t>
      </w:r>
      <w:r w:rsidRPr="002B1FEE">
        <w:rPr>
          <w:rFonts w:ascii="Cambria" w:hAnsi="Cambria"/>
        </w:rPr>
        <w:t xml:space="preserve"> </w:t>
      </w:r>
      <w:hyperlink r:id="rId14" w:tgtFrame="_new" w:history="1">
        <w:r w:rsidRPr="002B1FEE">
          <w:rPr>
            <w:rStyle w:val="Hyperlink"/>
            <w:rFonts w:ascii="Cambria" w:hAnsi="Cambria"/>
          </w:rPr>
          <w:t>https://doi.org/10.1108/jaee-07-2024-0298</w:t>
        </w:r>
      </w:hyperlink>
    </w:p>
    <w:p w14:paraId="0A94B093"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Holovina</w:t>
      </w:r>
      <w:proofErr w:type="spellEnd"/>
      <w:r w:rsidRPr="002B1FEE">
        <w:rPr>
          <w:rFonts w:ascii="Cambria" w:hAnsi="Cambria"/>
        </w:rPr>
        <w:t xml:space="preserve">, D., Karpenko, O., &amp; Plikus, I. (2022). International convergence of financial reporting. </w:t>
      </w:r>
      <w:hyperlink r:id="rId15" w:tgtFrame="_new" w:history="1">
        <w:r w:rsidRPr="002B1FEE">
          <w:rPr>
            <w:rStyle w:val="Hyperlink"/>
            <w:rFonts w:ascii="Cambria" w:hAnsi="Cambria"/>
          </w:rPr>
          <w:t>https://doi.org/10.26565/2524-2547-2022-63-08</w:t>
        </w:r>
      </w:hyperlink>
    </w:p>
    <w:p w14:paraId="0546BA64"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Ilakkiya, I. (2024). The evolution of international financial reporting standards (IFRS) and its impact on global business practices. </w:t>
      </w:r>
      <w:r w:rsidRPr="002B1FEE">
        <w:rPr>
          <w:rStyle w:val="Emphasis"/>
          <w:rFonts w:ascii="Cambria" w:hAnsi="Cambria"/>
        </w:rPr>
        <w:t>IOSR Journal of Economics and Finance.</w:t>
      </w:r>
      <w:r w:rsidRPr="002B1FEE">
        <w:rPr>
          <w:rFonts w:ascii="Cambria" w:hAnsi="Cambria"/>
        </w:rPr>
        <w:t xml:space="preserve"> </w:t>
      </w:r>
      <w:hyperlink r:id="rId16" w:tgtFrame="_new" w:history="1">
        <w:r w:rsidRPr="002B1FEE">
          <w:rPr>
            <w:rStyle w:val="Hyperlink"/>
            <w:rFonts w:ascii="Cambria" w:hAnsi="Cambria"/>
          </w:rPr>
          <w:t>https://doi.org/10.9790/5933-1505035968</w:t>
        </w:r>
      </w:hyperlink>
    </w:p>
    <w:p w14:paraId="056950A5"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Imamova</w:t>
      </w:r>
      <w:proofErr w:type="spellEnd"/>
      <w:r w:rsidRPr="002B1FEE">
        <w:rPr>
          <w:rFonts w:ascii="Cambria" w:hAnsi="Cambria"/>
        </w:rPr>
        <w:t xml:space="preserve">, N. (2025). Integration of international financial reporting standards into the accounting system. </w:t>
      </w:r>
      <w:r w:rsidRPr="002B1FEE">
        <w:rPr>
          <w:rStyle w:val="Emphasis"/>
          <w:rFonts w:ascii="Cambria" w:hAnsi="Cambria"/>
        </w:rPr>
        <w:t>Bulletin of Science and Practice.</w:t>
      </w:r>
      <w:r w:rsidRPr="002B1FEE">
        <w:rPr>
          <w:rFonts w:ascii="Cambria" w:hAnsi="Cambria"/>
        </w:rPr>
        <w:t xml:space="preserve"> </w:t>
      </w:r>
      <w:hyperlink r:id="rId17" w:tgtFrame="_new" w:history="1">
        <w:r w:rsidRPr="002B1FEE">
          <w:rPr>
            <w:rStyle w:val="Hyperlink"/>
            <w:rFonts w:ascii="Cambria" w:hAnsi="Cambria"/>
          </w:rPr>
          <w:t>https://doi.org/10.33619/2414-2948/115/57</w:t>
        </w:r>
      </w:hyperlink>
    </w:p>
    <w:p w14:paraId="344773E7"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Lawalata</w:t>
      </w:r>
      <w:proofErr w:type="spellEnd"/>
      <w:r w:rsidRPr="002B1FEE">
        <w:rPr>
          <w:rFonts w:ascii="Cambria" w:hAnsi="Cambria"/>
        </w:rPr>
        <w:t xml:space="preserve">, J., &amp; Salle, I. (2024). The impact of international financial reporting standards on global accounting practices. </w:t>
      </w:r>
      <w:r w:rsidRPr="002B1FEE">
        <w:rPr>
          <w:rStyle w:val="Emphasis"/>
          <w:rFonts w:ascii="Cambria" w:hAnsi="Cambria"/>
        </w:rPr>
        <w:t>Advances in Applied Accounting Research.</w:t>
      </w:r>
      <w:r w:rsidRPr="002B1FEE">
        <w:rPr>
          <w:rFonts w:ascii="Cambria" w:hAnsi="Cambria"/>
        </w:rPr>
        <w:t xml:space="preserve"> </w:t>
      </w:r>
      <w:hyperlink r:id="rId18" w:tgtFrame="_new" w:history="1">
        <w:r w:rsidRPr="002B1FEE">
          <w:rPr>
            <w:rStyle w:val="Hyperlink"/>
            <w:rFonts w:ascii="Cambria" w:hAnsi="Cambria"/>
          </w:rPr>
          <w:t>https://doi.org/10.60079/aaar.v2i2.262</w:t>
        </w:r>
      </w:hyperlink>
    </w:p>
    <w:p w14:paraId="343633F8"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Mohan, A., &amp; Tambe, M. (2025). Harmonization of international financial reporting standards (IFRS) accounting system and application throughout the global education. </w:t>
      </w:r>
      <w:r w:rsidRPr="002B1FEE">
        <w:rPr>
          <w:rStyle w:val="Emphasis"/>
          <w:rFonts w:ascii="Cambria" w:hAnsi="Cambria"/>
        </w:rPr>
        <w:t>International Journal of Research in Commerce and Management Studies.</w:t>
      </w:r>
      <w:r w:rsidRPr="002B1FEE">
        <w:rPr>
          <w:rFonts w:ascii="Cambria" w:hAnsi="Cambria"/>
        </w:rPr>
        <w:t xml:space="preserve"> </w:t>
      </w:r>
      <w:hyperlink r:id="rId19" w:tgtFrame="_new" w:history="1">
        <w:r w:rsidRPr="002B1FEE">
          <w:rPr>
            <w:rStyle w:val="Hyperlink"/>
            <w:rFonts w:ascii="Cambria" w:hAnsi="Cambria"/>
          </w:rPr>
          <w:t>https://doi.org/10.38193/ijrcms.2025.7226</w:t>
        </w:r>
      </w:hyperlink>
    </w:p>
    <w:p w14:paraId="1E747CC6"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lastRenderedPageBreak/>
        <w:t xml:space="preserve">N., N., Shenoy, S., Chakraborty, S., &amp; Abhilash, A. (2024). Unraveling the determinants and consequences of mandatory IFRS convergence in India: Insights from systematic literature review. </w:t>
      </w:r>
      <w:r w:rsidRPr="002B1FEE">
        <w:rPr>
          <w:rStyle w:val="Emphasis"/>
          <w:rFonts w:ascii="Cambria" w:hAnsi="Cambria"/>
        </w:rPr>
        <w:t>Cogent Business &amp; Management.</w:t>
      </w:r>
      <w:r w:rsidRPr="002B1FEE">
        <w:rPr>
          <w:rFonts w:ascii="Cambria" w:hAnsi="Cambria"/>
        </w:rPr>
        <w:t xml:space="preserve"> </w:t>
      </w:r>
      <w:hyperlink r:id="rId20" w:tgtFrame="_new" w:history="1">
        <w:r w:rsidRPr="002B1FEE">
          <w:rPr>
            <w:rStyle w:val="Hyperlink"/>
            <w:rFonts w:ascii="Cambria" w:hAnsi="Cambria"/>
          </w:rPr>
          <w:t>https://doi.org/10.1080/23311975.2024.2411446</w:t>
        </w:r>
      </w:hyperlink>
    </w:p>
    <w:p w14:paraId="75E37CF0"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Rizvi, F. (2024). International financial reporting standards &amp; its convergence in India. </w:t>
      </w:r>
      <w:r w:rsidRPr="002B1FEE">
        <w:rPr>
          <w:rStyle w:val="Emphasis"/>
          <w:rFonts w:ascii="Cambria" w:hAnsi="Cambria"/>
        </w:rPr>
        <w:t>International Journal of Scientific Research in Engineering and Management.</w:t>
      </w:r>
      <w:r w:rsidRPr="002B1FEE">
        <w:rPr>
          <w:rFonts w:ascii="Cambria" w:hAnsi="Cambria"/>
        </w:rPr>
        <w:t xml:space="preserve"> </w:t>
      </w:r>
      <w:hyperlink r:id="rId21" w:tgtFrame="_new" w:history="1">
        <w:r w:rsidRPr="002B1FEE">
          <w:rPr>
            <w:rStyle w:val="Hyperlink"/>
            <w:rFonts w:ascii="Cambria" w:hAnsi="Cambria"/>
          </w:rPr>
          <w:t>https://doi.org/10.55041/ijsrem35005</w:t>
        </w:r>
      </w:hyperlink>
    </w:p>
    <w:p w14:paraId="333CE831" w14:textId="77777777" w:rsidR="002B1FEE" w:rsidRPr="002B1FEE" w:rsidRDefault="002B1FEE" w:rsidP="00A431BD">
      <w:pPr>
        <w:pStyle w:val="NormalWeb"/>
        <w:spacing w:before="0" w:beforeAutospacing="0" w:after="0" w:afterAutospacing="0"/>
        <w:ind w:left="720" w:hanging="654"/>
        <w:jc w:val="both"/>
        <w:rPr>
          <w:rFonts w:ascii="Cambria" w:hAnsi="Cambria"/>
        </w:rPr>
      </w:pPr>
      <w:proofErr w:type="spellStart"/>
      <w:r w:rsidRPr="002B1FEE">
        <w:rPr>
          <w:rFonts w:ascii="Cambria" w:hAnsi="Cambria"/>
        </w:rPr>
        <w:t>Rouvolis</w:t>
      </w:r>
      <w:proofErr w:type="spellEnd"/>
      <w:r w:rsidRPr="002B1FEE">
        <w:rPr>
          <w:rFonts w:ascii="Cambria" w:hAnsi="Cambria"/>
        </w:rPr>
        <w:t xml:space="preserve">, S. (2022). International financial reporting standards (IFRS): Exploring financial evidence from listed companies in the US. </w:t>
      </w:r>
      <w:r w:rsidRPr="002B1FEE">
        <w:rPr>
          <w:rStyle w:val="Emphasis"/>
          <w:rFonts w:ascii="Cambria" w:hAnsi="Cambria"/>
        </w:rPr>
        <w:t>Open Journal of Accounting.</w:t>
      </w:r>
      <w:r w:rsidRPr="002B1FEE">
        <w:rPr>
          <w:rFonts w:ascii="Cambria" w:hAnsi="Cambria"/>
        </w:rPr>
        <w:t xml:space="preserve"> </w:t>
      </w:r>
      <w:hyperlink r:id="rId22" w:tgtFrame="_new" w:history="1">
        <w:r w:rsidRPr="002B1FEE">
          <w:rPr>
            <w:rStyle w:val="Hyperlink"/>
            <w:rFonts w:ascii="Cambria" w:hAnsi="Cambria"/>
          </w:rPr>
          <w:t>https://doi.org/10.4236/ojacct.2022.104014</w:t>
        </w:r>
      </w:hyperlink>
    </w:p>
    <w:p w14:paraId="42A473F2"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Sánchez-Caguana, D. (2023). </w:t>
      </w:r>
      <w:proofErr w:type="spellStart"/>
      <w:r w:rsidRPr="002B1FEE">
        <w:rPr>
          <w:rFonts w:ascii="Cambria" w:hAnsi="Cambria"/>
        </w:rPr>
        <w:t>Tendencias</w:t>
      </w:r>
      <w:proofErr w:type="spellEnd"/>
      <w:r w:rsidRPr="002B1FEE">
        <w:rPr>
          <w:rFonts w:ascii="Cambria" w:hAnsi="Cambria"/>
        </w:rPr>
        <w:t xml:space="preserve"> y </w:t>
      </w:r>
      <w:proofErr w:type="spellStart"/>
      <w:r w:rsidRPr="002B1FEE">
        <w:rPr>
          <w:rFonts w:ascii="Cambria" w:hAnsi="Cambria"/>
        </w:rPr>
        <w:t>retos</w:t>
      </w:r>
      <w:proofErr w:type="spellEnd"/>
      <w:r w:rsidRPr="002B1FEE">
        <w:rPr>
          <w:rFonts w:ascii="Cambria" w:hAnsi="Cambria"/>
        </w:rPr>
        <w:t xml:space="preserve"> </w:t>
      </w:r>
      <w:proofErr w:type="spellStart"/>
      <w:r w:rsidRPr="002B1FEE">
        <w:rPr>
          <w:rFonts w:ascii="Cambria" w:hAnsi="Cambria"/>
        </w:rPr>
        <w:t>en</w:t>
      </w:r>
      <w:proofErr w:type="spellEnd"/>
      <w:r w:rsidRPr="002B1FEE">
        <w:rPr>
          <w:rFonts w:ascii="Cambria" w:hAnsi="Cambria"/>
        </w:rPr>
        <w:t xml:space="preserve"> la </w:t>
      </w:r>
      <w:proofErr w:type="spellStart"/>
      <w:r w:rsidRPr="002B1FEE">
        <w:rPr>
          <w:rFonts w:ascii="Cambria" w:hAnsi="Cambria"/>
        </w:rPr>
        <w:t>aplicación</w:t>
      </w:r>
      <w:proofErr w:type="spellEnd"/>
      <w:r w:rsidRPr="002B1FEE">
        <w:rPr>
          <w:rFonts w:ascii="Cambria" w:hAnsi="Cambria"/>
        </w:rPr>
        <w:t xml:space="preserve"> de las </w:t>
      </w:r>
      <w:proofErr w:type="spellStart"/>
      <w:r w:rsidRPr="002B1FEE">
        <w:rPr>
          <w:rFonts w:ascii="Cambria" w:hAnsi="Cambria"/>
        </w:rPr>
        <w:t>normas</w:t>
      </w:r>
      <w:proofErr w:type="spellEnd"/>
      <w:r w:rsidRPr="002B1FEE">
        <w:rPr>
          <w:rFonts w:ascii="Cambria" w:hAnsi="Cambria"/>
        </w:rPr>
        <w:t xml:space="preserve"> </w:t>
      </w:r>
      <w:proofErr w:type="spellStart"/>
      <w:r w:rsidRPr="002B1FEE">
        <w:rPr>
          <w:rFonts w:ascii="Cambria" w:hAnsi="Cambria"/>
        </w:rPr>
        <w:t>internacionales</w:t>
      </w:r>
      <w:proofErr w:type="spellEnd"/>
      <w:r w:rsidRPr="002B1FEE">
        <w:rPr>
          <w:rFonts w:ascii="Cambria" w:hAnsi="Cambria"/>
        </w:rPr>
        <w:t xml:space="preserve"> de </w:t>
      </w:r>
      <w:proofErr w:type="spellStart"/>
      <w:r w:rsidRPr="002B1FEE">
        <w:rPr>
          <w:rFonts w:ascii="Cambria" w:hAnsi="Cambria"/>
        </w:rPr>
        <w:t>información</w:t>
      </w:r>
      <w:proofErr w:type="spellEnd"/>
      <w:r w:rsidRPr="002B1FEE">
        <w:rPr>
          <w:rFonts w:ascii="Cambria" w:hAnsi="Cambria"/>
        </w:rPr>
        <w:t xml:space="preserve"> </w:t>
      </w:r>
      <w:proofErr w:type="spellStart"/>
      <w:r w:rsidRPr="002B1FEE">
        <w:rPr>
          <w:rFonts w:ascii="Cambria" w:hAnsi="Cambria"/>
        </w:rPr>
        <w:t>financiera</w:t>
      </w:r>
      <w:proofErr w:type="spellEnd"/>
      <w:r w:rsidRPr="002B1FEE">
        <w:rPr>
          <w:rFonts w:ascii="Cambria" w:hAnsi="Cambria"/>
        </w:rPr>
        <w:t xml:space="preserve"> (NIIF). </w:t>
      </w:r>
      <w:r w:rsidRPr="002B1FEE">
        <w:rPr>
          <w:rStyle w:val="Emphasis"/>
          <w:rFonts w:ascii="Cambria" w:hAnsi="Cambria"/>
        </w:rPr>
        <w:t>Innova Science Journal.</w:t>
      </w:r>
      <w:r w:rsidRPr="002B1FEE">
        <w:rPr>
          <w:rFonts w:ascii="Cambria" w:hAnsi="Cambria"/>
        </w:rPr>
        <w:t xml:space="preserve"> </w:t>
      </w:r>
      <w:hyperlink r:id="rId23" w:tgtFrame="_new" w:history="1">
        <w:r w:rsidRPr="002B1FEE">
          <w:rPr>
            <w:rStyle w:val="Hyperlink"/>
            <w:rFonts w:ascii="Cambria" w:hAnsi="Cambria"/>
          </w:rPr>
          <w:t>https://doi.org/10.63618/omd/isj/v1/n3/18</w:t>
        </w:r>
      </w:hyperlink>
    </w:p>
    <w:p w14:paraId="3A00E414"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Silva, A., Fontes, A., Menezes, C., &amp; Montenegro, T. (2023). Transitioning to an IFRS-based accounting system: Longitudinal insights from practitioners in Portugal. </w:t>
      </w:r>
      <w:r w:rsidRPr="002B1FEE">
        <w:rPr>
          <w:rStyle w:val="Emphasis"/>
          <w:rFonts w:ascii="Cambria" w:hAnsi="Cambria"/>
        </w:rPr>
        <w:t>Sustainability.</w:t>
      </w:r>
      <w:r w:rsidRPr="002B1FEE">
        <w:rPr>
          <w:rFonts w:ascii="Cambria" w:hAnsi="Cambria"/>
        </w:rPr>
        <w:t xml:space="preserve"> </w:t>
      </w:r>
      <w:hyperlink r:id="rId24" w:tgtFrame="_new" w:history="1">
        <w:r w:rsidRPr="002B1FEE">
          <w:rPr>
            <w:rStyle w:val="Hyperlink"/>
            <w:rFonts w:ascii="Cambria" w:hAnsi="Cambria"/>
          </w:rPr>
          <w:t>https://doi.org/10.3390/su152015121</w:t>
        </w:r>
      </w:hyperlink>
    </w:p>
    <w:p w14:paraId="4F3AB2F3"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Siregar, Y., Aprilia, R., Kartika, D., &amp; Darma, J. (2025). Convergence of IFRS with local accounting standards: A literature review. </w:t>
      </w:r>
      <w:proofErr w:type="spellStart"/>
      <w:r w:rsidRPr="002B1FEE">
        <w:rPr>
          <w:rStyle w:val="Emphasis"/>
          <w:rFonts w:ascii="Cambria" w:hAnsi="Cambria"/>
        </w:rPr>
        <w:t>Ilmu</w:t>
      </w:r>
      <w:proofErr w:type="spellEnd"/>
      <w:r w:rsidRPr="002B1FEE">
        <w:rPr>
          <w:rStyle w:val="Emphasis"/>
          <w:rFonts w:ascii="Cambria" w:hAnsi="Cambria"/>
        </w:rPr>
        <w:t xml:space="preserve"> Ekonomi </w:t>
      </w:r>
      <w:proofErr w:type="spellStart"/>
      <w:r w:rsidRPr="002B1FEE">
        <w:rPr>
          <w:rStyle w:val="Emphasis"/>
          <w:rFonts w:ascii="Cambria" w:hAnsi="Cambria"/>
        </w:rPr>
        <w:t>Manajemen</w:t>
      </w:r>
      <w:proofErr w:type="spellEnd"/>
      <w:r w:rsidRPr="002B1FEE">
        <w:rPr>
          <w:rStyle w:val="Emphasis"/>
          <w:rFonts w:ascii="Cambria" w:hAnsi="Cambria"/>
        </w:rPr>
        <w:t xml:space="preserve"> dan </w:t>
      </w:r>
      <w:proofErr w:type="spellStart"/>
      <w:r w:rsidRPr="002B1FEE">
        <w:rPr>
          <w:rStyle w:val="Emphasis"/>
          <w:rFonts w:ascii="Cambria" w:hAnsi="Cambria"/>
        </w:rPr>
        <w:t>Akuntansi</w:t>
      </w:r>
      <w:proofErr w:type="spellEnd"/>
      <w:r w:rsidRPr="002B1FEE">
        <w:rPr>
          <w:rStyle w:val="Emphasis"/>
          <w:rFonts w:ascii="Cambria" w:hAnsi="Cambria"/>
        </w:rPr>
        <w:t>.</w:t>
      </w:r>
      <w:r w:rsidRPr="002B1FEE">
        <w:rPr>
          <w:rFonts w:ascii="Cambria" w:hAnsi="Cambria"/>
        </w:rPr>
        <w:t xml:space="preserve"> </w:t>
      </w:r>
      <w:hyperlink r:id="rId25" w:tgtFrame="_new" w:history="1">
        <w:r w:rsidRPr="002B1FEE">
          <w:rPr>
            <w:rStyle w:val="Hyperlink"/>
            <w:rFonts w:ascii="Cambria" w:hAnsi="Cambria"/>
          </w:rPr>
          <w:t>https://doi.org/10.37012/ileka.v6i2.3042</w:t>
        </w:r>
      </w:hyperlink>
    </w:p>
    <w:p w14:paraId="19EFEC65"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Šuvakov, P., &amp; Sekicki, V. (2025). Contemporary trends in the standardization of accounting and auditing at the international level. </w:t>
      </w:r>
      <w:r w:rsidRPr="002B1FEE">
        <w:rPr>
          <w:rStyle w:val="Emphasis"/>
          <w:rFonts w:ascii="Cambria" w:hAnsi="Cambria"/>
        </w:rPr>
        <w:t>Journal of Agronomy, Technology and Engineering Management (JATEM).</w:t>
      </w:r>
      <w:r w:rsidRPr="002B1FEE">
        <w:rPr>
          <w:rFonts w:ascii="Cambria" w:hAnsi="Cambria"/>
        </w:rPr>
        <w:t xml:space="preserve"> </w:t>
      </w:r>
      <w:hyperlink r:id="rId26" w:tgtFrame="_new" w:history="1">
        <w:r w:rsidRPr="002B1FEE">
          <w:rPr>
            <w:rStyle w:val="Hyperlink"/>
            <w:rFonts w:ascii="Cambria" w:hAnsi="Cambria"/>
          </w:rPr>
          <w:t>https://doi.org/10.55817/ynph2883</w:t>
        </w:r>
      </w:hyperlink>
    </w:p>
    <w:p w14:paraId="244CA98C"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Sujana, D., &amp; </w:t>
      </w:r>
      <w:proofErr w:type="spellStart"/>
      <w:r w:rsidRPr="002B1FEE">
        <w:rPr>
          <w:rFonts w:ascii="Cambria" w:hAnsi="Cambria"/>
        </w:rPr>
        <w:t>Mukhlisin</w:t>
      </w:r>
      <w:proofErr w:type="spellEnd"/>
      <w:r w:rsidRPr="002B1FEE">
        <w:rPr>
          <w:rFonts w:ascii="Cambria" w:hAnsi="Cambria"/>
        </w:rPr>
        <w:t xml:space="preserve">, M. (2025). IFRS adoption models in Islamic banks of South Africa and Indonesia: A systematic literature review. </w:t>
      </w:r>
      <w:r w:rsidRPr="002B1FEE">
        <w:rPr>
          <w:rStyle w:val="Emphasis"/>
          <w:rFonts w:ascii="Cambria" w:hAnsi="Cambria"/>
        </w:rPr>
        <w:t xml:space="preserve">Share: </w:t>
      </w:r>
      <w:proofErr w:type="spellStart"/>
      <w:r w:rsidRPr="002B1FEE">
        <w:rPr>
          <w:rStyle w:val="Emphasis"/>
          <w:rFonts w:ascii="Cambria" w:hAnsi="Cambria"/>
        </w:rPr>
        <w:t>Jurnal</w:t>
      </w:r>
      <w:proofErr w:type="spellEnd"/>
      <w:r w:rsidRPr="002B1FEE">
        <w:rPr>
          <w:rStyle w:val="Emphasis"/>
          <w:rFonts w:ascii="Cambria" w:hAnsi="Cambria"/>
        </w:rPr>
        <w:t xml:space="preserve"> Ekonomi dan </w:t>
      </w:r>
      <w:proofErr w:type="spellStart"/>
      <w:r w:rsidRPr="002B1FEE">
        <w:rPr>
          <w:rStyle w:val="Emphasis"/>
          <w:rFonts w:ascii="Cambria" w:hAnsi="Cambria"/>
        </w:rPr>
        <w:t>Keuangan</w:t>
      </w:r>
      <w:proofErr w:type="spellEnd"/>
      <w:r w:rsidRPr="002B1FEE">
        <w:rPr>
          <w:rStyle w:val="Emphasis"/>
          <w:rFonts w:ascii="Cambria" w:hAnsi="Cambria"/>
        </w:rPr>
        <w:t xml:space="preserve"> Islam.</w:t>
      </w:r>
      <w:r w:rsidRPr="002B1FEE">
        <w:rPr>
          <w:rFonts w:ascii="Cambria" w:hAnsi="Cambria"/>
        </w:rPr>
        <w:t xml:space="preserve"> </w:t>
      </w:r>
      <w:hyperlink r:id="rId27" w:tgtFrame="_new" w:history="1">
        <w:r w:rsidRPr="002B1FEE">
          <w:rPr>
            <w:rStyle w:val="Hyperlink"/>
            <w:rFonts w:ascii="Cambria" w:hAnsi="Cambria"/>
          </w:rPr>
          <w:t>https://doi.org/10.22373/share.v14i1.28769</w:t>
        </w:r>
      </w:hyperlink>
    </w:p>
    <w:p w14:paraId="2C1124F2" w14:textId="77777777" w:rsidR="002B1FEE" w:rsidRPr="002B1FEE" w:rsidRDefault="002B1FEE" w:rsidP="00A431BD">
      <w:pPr>
        <w:pStyle w:val="NormalWeb"/>
        <w:spacing w:before="0" w:beforeAutospacing="0" w:after="0" w:afterAutospacing="0"/>
        <w:ind w:left="720" w:hanging="654"/>
        <w:jc w:val="both"/>
        <w:rPr>
          <w:rFonts w:ascii="Cambria" w:hAnsi="Cambria"/>
        </w:rPr>
      </w:pPr>
      <w:r w:rsidRPr="002B1FEE">
        <w:rPr>
          <w:rFonts w:ascii="Cambria" w:hAnsi="Cambria"/>
        </w:rPr>
        <w:t xml:space="preserve">Syahrani, A., </w:t>
      </w:r>
      <w:proofErr w:type="spellStart"/>
      <w:r w:rsidRPr="002B1FEE">
        <w:rPr>
          <w:rFonts w:ascii="Cambria" w:hAnsi="Cambria"/>
        </w:rPr>
        <w:t>Safitri</w:t>
      </w:r>
      <w:proofErr w:type="spellEnd"/>
      <w:r w:rsidRPr="002B1FEE">
        <w:rPr>
          <w:rFonts w:ascii="Cambria" w:hAnsi="Cambria"/>
        </w:rPr>
        <w:t xml:space="preserve">, A., Pratiwi, D., Amalia, G., &amp; </w:t>
      </w:r>
      <w:proofErr w:type="spellStart"/>
      <w:r w:rsidRPr="002B1FEE">
        <w:rPr>
          <w:rFonts w:ascii="Cambria" w:hAnsi="Cambria"/>
        </w:rPr>
        <w:t>Mulyanto</w:t>
      </w:r>
      <w:proofErr w:type="spellEnd"/>
      <w:r w:rsidRPr="002B1FEE">
        <w:rPr>
          <w:rFonts w:ascii="Cambria" w:hAnsi="Cambria"/>
        </w:rPr>
        <w:t xml:space="preserve">, Y. (2025). The impact of globalization on harmonization of international accounting standards: IFRS adoption study in Indonesia. </w:t>
      </w:r>
      <w:r w:rsidRPr="002B1FEE">
        <w:rPr>
          <w:rStyle w:val="Emphasis"/>
          <w:rFonts w:ascii="Cambria" w:hAnsi="Cambria"/>
        </w:rPr>
        <w:t>International Journal of Asian Business and Development.</w:t>
      </w:r>
      <w:r w:rsidRPr="002B1FEE">
        <w:rPr>
          <w:rFonts w:ascii="Cambria" w:hAnsi="Cambria"/>
        </w:rPr>
        <w:t xml:space="preserve"> </w:t>
      </w:r>
      <w:hyperlink r:id="rId28" w:tgtFrame="_new" w:history="1">
        <w:r w:rsidRPr="002B1FEE">
          <w:rPr>
            <w:rStyle w:val="Hyperlink"/>
            <w:rFonts w:ascii="Cambria" w:hAnsi="Cambria"/>
          </w:rPr>
          <w:t>https://doi.org/10.55927/metropolis.v1i4.307</w:t>
        </w:r>
      </w:hyperlink>
    </w:p>
    <w:p w14:paraId="28C31D86" w14:textId="77777777" w:rsidR="00AE6438" w:rsidRPr="00AE6438" w:rsidRDefault="00AE6438" w:rsidP="002B1FEE">
      <w:pPr>
        <w:pStyle w:val="ListParagraph"/>
        <w:pBdr>
          <w:top w:val="nil"/>
          <w:left w:val="nil"/>
          <w:bottom w:val="nil"/>
          <w:right w:val="nil"/>
          <w:between w:val="nil"/>
        </w:pBdr>
        <w:ind w:left="567"/>
        <w:jc w:val="both"/>
        <w:rPr>
          <w:rFonts w:ascii="Cambria" w:eastAsia="Cambria" w:hAnsi="Cambria" w:cs="Cambria"/>
          <w:sz w:val="24"/>
          <w:szCs w:val="24"/>
          <w:lang w:val="en-US"/>
        </w:rPr>
      </w:pPr>
    </w:p>
    <w:p w14:paraId="60506DB4" w14:textId="77777777" w:rsidR="004069F7" w:rsidRPr="00AE6438" w:rsidRDefault="004069F7" w:rsidP="00601D0F">
      <w:pPr>
        <w:pStyle w:val="ListParagraph"/>
        <w:pBdr>
          <w:top w:val="nil"/>
          <w:left w:val="nil"/>
          <w:bottom w:val="nil"/>
          <w:right w:val="nil"/>
          <w:between w:val="nil"/>
        </w:pBdr>
        <w:ind w:left="426"/>
        <w:jc w:val="both"/>
        <w:rPr>
          <w:rFonts w:ascii="Cambria" w:eastAsia="Cambria" w:hAnsi="Cambria" w:cs="Cambria"/>
          <w:sz w:val="24"/>
          <w:szCs w:val="24"/>
          <w:lang w:val="en-US"/>
        </w:rPr>
      </w:pPr>
    </w:p>
    <w:sectPr w:rsidR="004069F7" w:rsidRPr="00AE6438" w:rsidSect="00A431BD">
      <w:headerReference w:type="even" r:id="rId29"/>
      <w:headerReference w:type="default" r:id="rId30"/>
      <w:footerReference w:type="even" r:id="rId31"/>
      <w:footerReference w:type="default" r:id="rId32"/>
      <w:headerReference w:type="first" r:id="rId33"/>
      <w:footerReference w:type="first" r:id="rId34"/>
      <w:pgSz w:w="11906" w:h="16838"/>
      <w:pgMar w:top="1106" w:right="1440" w:bottom="1440" w:left="1440" w:header="568" w:footer="0" w:gutter="0"/>
      <w:pgNumType w:start="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A2BB" w14:textId="77777777" w:rsidR="00DA626C" w:rsidRDefault="00DA626C">
      <w:r>
        <w:separator/>
      </w:r>
    </w:p>
  </w:endnote>
  <w:endnote w:type="continuationSeparator" w:id="0">
    <w:p w14:paraId="56731A4A" w14:textId="77777777" w:rsidR="00DA626C" w:rsidRDefault="00DA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Medium">
    <w:charset w:val="00"/>
    <w:family w:val="auto"/>
    <w:pitch w:val="variable"/>
    <w:sig w:usb0="A00000FF" w:usb1="4000205B" w:usb2="00000000" w:usb3="00000000" w:csb0="00000193" w:csb1="00000000"/>
  </w:font>
  <w:font w:name="Noto Serif">
    <w:altName w:val="MV Boli"/>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C782" w14:textId="77777777" w:rsidR="006F5A19" w:rsidRDefault="006F5A19">
    <w:pPr>
      <w:pBdr>
        <w:top w:val="nil"/>
        <w:left w:val="nil"/>
        <w:bottom w:val="nil"/>
        <w:right w:val="nil"/>
        <w:between w:val="nil"/>
      </w:pBdr>
      <w:tabs>
        <w:tab w:val="center" w:pos="4680"/>
        <w:tab w:val="right" w:pos="9360"/>
      </w:tabs>
      <w:ind w:firstLine="851"/>
      <w:jc w:val="right"/>
      <w:rPr>
        <w:color w:val="000000"/>
      </w:rPr>
    </w:pPr>
    <w:r>
      <w:rPr>
        <w:color w:val="000000"/>
      </w:rPr>
      <w:fldChar w:fldCharType="begin"/>
    </w:r>
    <w:r>
      <w:rPr>
        <w:color w:val="000000"/>
      </w:rPr>
      <w:instrText>PAGE</w:instrText>
    </w:r>
    <w:r>
      <w:rPr>
        <w:color w:val="000000"/>
      </w:rPr>
      <w:fldChar w:fldCharType="end"/>
    </w:r>
  </w:p>
  <w:p w14:paraId="00E679DB" w14:textId="77777777" w:rsidR="006F5A19" w:rsidRDefault="006F5A19">
    <w:pPr>
      <w:pBdr>
        <w:top w:val="nil"/>
        <w:left w:val="nil"/>
        <w:bottom w:val="nil"/>
        <w:right w:val="nil"/>
        <w:between w:val="nil"/>
      </w:pBdr>
      <w:tabs>
        <w:tab w:val="center" w:pos="4680"/>
        <w:tab w:val="right" w:pos="9360"/>
      </w:tabs>
      <w:ind w:right="360"/>
      <w:jc w:val="both"/>
      <w:rPr>
        <w:rFonts w:ascii="Candara" w:eastAsia="Candara" w:hAnsi="Candara" w:cs="Candar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DE7B" w14:textId="77777777" w:rsidR="006F5A19" w:rsidRDefault="006F5A19">
    <w:pPr>
      <w:pBdr>
        <w:top w:val="nil"/>
        <w:left w:val="nil"/>
        <w:bottom w:val="nil"/>
        <w:right w:val="nil"/>
        <w:between w:val="nil"/>
      </w:pBdr>
      <w:tabs>
        <w:tab w:val="center" w:pos="4680"/>
        <w:tab w:val="right" w:pos="9360"/>
      </w:tabs>
      <w:ind w:firstLine="851"/>
      <w:jc w:val="right"/>
      <w:rPr>
        <w:color w:val="000000"/>
      </w:rPr>
    </w:pPr>
    <w:r>
      <w:rPr>
        <w:color w:val="000000"/>
      </w:rPr>
      <w:fldChar w:fldCharType="begin"/>
    </w:r>
    <w:r>
      <w:rPr>
        <w:color w:val="000000"/>
      </w:rPr>
      <w:instrText>PAGE</w:instrText>
    </w:r>
    <w:r>
      <w:rPr>
        <w:color w:val="000000"/>
      </w:rPr>
      <w:fldChar w:fldCharType="separate"/>
    </w:r>
    <w:r w:rsidR="002B1FEE">
      <w:rPr>
        <w:noProof/>
        <w:color w:val="000000"/>
      </w:rPr>
      <w:t>1</w:t>
    </w:r>
    <w:r w:rsidR="002B1FEE">
      <w:rPr>
        <w:noProof/>
        <w:color w:val="000000"/>
      </w:rPr>
      <w:t>1</w:t>
    </w:r>
    <w:r>
      <w:rPr>
        <w:color w:val="000000"/>
      </w:rPr>
      <w:fldChar w:fldCharType="end"/>
    </w:r>
  </w:p>
  <w:p w14:paraId="317001AB" w14:textId="77777777" w:rsidR="006F5A19" w:rsidRDefault="006F5A19">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B53E" w14:textId="77777777" w:rsidR="006F5A19" w:rsidRDefault="006F5A19">
    <w:pPr>
      <w:pBdr>
        <w:top w:val="nil"/>
        <w:left w:val="nil"/>
        <w:bottom w:val="nil"/>
        <w:right w:val="nil"/>
        <w:between w:val="nil"/>
      </w:pBdr>
      <w:tabs>
        <w:tab w:val="center" w:pos="4680"/>
        <w:tab w:val="right" w:pos="9360"/>
      </w:tabs>
      <w:spacing w:line="192" w:lineRule="auto"/>
      <w:ind w:firstLine="851"/>
      <w:jc w:val="right"/>
      <w:rPr>
        <w:color w:val="000000"/>
      </w:rPr>
    </w:pPr>
    <w:r>
      <w:rPr>
        <w:color w:val="000000"/>
      </w:rPr>
      <w:fldChar w:fldCharType="begin"/>
    </w:r>
    <w:r>
      <w:rPr>
        <w:color w:val="000000"/>
      </w:rPr>
      <w:instrText>PAGE</w:instrText>
    </w:r>
    <w:r>
      <w:rPr>
        <w:color w:val="000000"/>
      </w:rPr>
      <w:fldChar w:fldCharType="separate"/>
    </w:r>
    <w:r w:rsidR="002B1FEE">
      <w:rPr>
        <w:noProof/>
        <w:color w:val="000000"/>
      </w:rPr>
      <w:t>1</w:t>
    </w:r>
    <w:r>
      <w:rPr>
        <w:color w:val="000000"/>
      </w:rPr>
      <w:fldChar w:fldCharType="end"/>
    </w:r>
  </w:p>
  <w:p w14:paraId="6880E848" w14:textId="77777777" w:rsidR="006F5A19" w:rsidRDefault="006F5A19">
    <w:pPr>
      <w:tabs>
        <w:tab w:val="center" w:pos="4680"/>
        <w:tab w:val="right" w:pos="9360"/>
      </w:tabs>
      <w:rPr>
        <w:sz w:val="16"/>
        <w:szCs w:val="16"/>
      </w:rPr>
    </w:pPr>
    <w:r>
      <w:rPr>
        <w:noProof/>
        <w:sz w:val="16"/>
        <w:szCs w:val="16"/>
        <w:lang w:val="en-US" w:eastAsia="en-US"/>
      </w:rPr>
      <w:drawing>
        <wp:inline distT="114300" distB="114300" distL="114300" distR="114300" wp14:anchorId="17292822" wp14:editId="20F56823">
          <wp:extent cx="1062038" cy="376852"/>
          <wp:effectExtent l="0" t="0" r="0" b="0"/>
          <wp:docPr id="9863847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62038" cy="376852"/>
                  </a:xfrm>
                  <a:prstGeom prst="rect">
                    <a:avLst/>
                  </a:prstGeom>
                  <a:ln/>
                </pic:spPr>
              </pic:pic>
            </a:graphicData>
          </a:graphic>
        </wp:inline>
      </w:drawing>
    </w:r>
  </w:p>
  <w:p w14:paraId="345C0D6A" w14:textId="77777777" w:rsidR="006F5A19" w:rsidRDefault="006F5A19">
    <w:pPr>
      <w:tabs>
        <w:tab w:val="center" w:pos="4680"/>
        <w:tab w:val="right" w:pos="9360"/>
      </w:tabs>
      <w:rPr>
        <w:sz w:val="16"/>
        <w:szCs w:val="16"/>
      </w:rPr>
    </w:pPr>
    <w:r>
      <w:rPr>
        <w:sz w:val="16"/>
        <w:szCs w:val="16"/>
      </w:rPr>
      <w:t>Creative Commons Attribution-ShareAlike 4.0 International License:</w:t>
    </w:r>
  </w:p>
  <w:p w14:paraId="4A7B6DA1" w14:textId="77777777" w:rsidR="006F5A19" w:rsidRDefault="006F5A19">
    <w:pPr>
      <w:tabs>
        <w:tab w:val="center" w:pos="4680"/>
        <w:tab w:val="right" w:pos="9360"/>
      </w:tabs>
      <w:rPr>
        <w:color w:val="1155CC"/>
        <w:sz w:val="16"/>
        <w:szCs w:val="16"/>
        <w:u w:val="single"/>
      </w:rPr>
    </w:pPr>
    <w:hyperlink r:id="rId2">
      <w:r>
        <w:rPr>
          <w:color w:val="1155CC"/>
          <w:sz w:val="16"/>
          <w:szCs w:val="16"/>
          <w:u w:val="single"/>
        </w:rPr>
        <w:t>https://creativecommons.org/licenses/by-sa/4.0/</w:t>
      </w:r>
    </w:hyperlink>
  </w:p>
  <w:p w14:paraId="7C299652" w14:textId="77777777" w:rsidR="006F5A19" w:rsidRDefault="006F5A19">
    <w:pPr>
      <w:pBdr>
        <w:top w:val="nil"/>
        <w:left w:val="nil"/>
        <w:bottom w:val="nil"/>
        <w:right w:val="nil"/>
        <w:between w:val="nil"/>
      </w:pBdr>
      <w:tabs>
        <w:tab w:val="center" w:pos="4680"/>
        <w:tab w:val="right" w:pos="9360"/>
      </w:tabs>
      <w:spacing w:before="240" w:after="240" w:line="120" w:lineRule="auto"/>
      <w:ind w:firstLine="851"/>
    </w:pPr>
  </w:p>
  <w:p w14:paraId="6278CA03" w14:textId="77777777" w:rsidR="006F5A19" w:rsidRDefault="006F5A19">
    <w:pPr>
      <w:pBdr>
        <w:top w:val="nil"/>
        <w:left w:val="nil"/>
        <w:bottom w:val="nil"/>
        <w:right w:val="nil"/>
        <w:between w:val="nil"/>
      </w:pBdr>
      <w:tabs>
        <w:tab w:val="center" w:pos="4680"/>
        <w:tab w:val="right" w:pos="9360"/>
      </w:tabs>
      <w:ind w:firstLine="851"/>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882F" w14:textId="77777777" w:rsidR="00DA626C" w:rsidRDefault="00DA626C">
      <w:r>
        <w:separator/>
      </w:r>
    </w:p>
  </w:footnote>
  <w:footnote w:type="continuationSeparator" w:id="0">
    <w:p w14:paraId="0FBCC1EF" w14:textId="77777777" w:rsidR="00DA626C" w:rsidRDefault="00DA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0395" w14:textId="77777777" w:rsidR="006F5A19" w:rsidRDefault="006F5A19">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E39C" w14:textId="77777777" w:rsidR="006F5A19" w:rsidRDefault="006F5A19">
    <w:pPr>
      <w:pBdr>
        <w:top w:val="nil"/>
        <w:left w:val="nil"/>
        <w:bottom w:val="nil"/>
        <w:right w:val="nil"/>
        <w:between w:val="nil"/>
      </w:pBdr>
      <w:tabs>
        <w:tab w:val="center" w:pos="4680"/>
        <w:tab w:val="right" w:pos="9360"/>
      </w:tabs>
      <w:jc w:val="right"/>
      <w:rPr>
        <w:rFonts w:ascii="Libre Franklin Medium" w:eastAsia="Libre Franklin Medium" w:hAnsi="Libre Franklin Medium" w:cs="Libre Franklin Medium"/>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103C" w14:textId="77777777" w:rsidR="00A431BD" w:rsidRPr="002F29FB" w:rsidRDefault="00A431BD" w:rsidP="00A431BD">
    <w:pPr>
      <w:pBdr>
        <w:top w:val="nil"/>
        <w:left w:val="nil"/>
        <w:bottom w:val="nil"/>
        <w:right w:val="nil"/>
        <w:between w:val="nil"/>
      </w:pBdr>
      <w:tabs>
        <w:tab w:val="center" w:pos="4680"/>
        <w:tab w:val="right" w:pos="9360"/>
      </w:tabs>
      <w:jc w:val="both"/>
      <w:rPr>
        <w:color w:val="000000"/>
      </w:rPr>
    </w:pPr>
    <w:r w:rsidRPr="002F29FB">
      <w:rPr>
        <w:color w:val="000000"/>
      </w:rPr>
      <w:t xml:space="preserve">Nomico Journal </w:t>
    </w:r>
    <w:r w:rsidRPr="002F29FB">
      <w:rPr>
        <w:noProof/>
        <w:lang w:val="en-US" w:eastAsia="en-US"/>
      </w:rPr>
      <w:drawing>
        <wp:anchor distT="0" distB="0" distL="0" distR="0" simplePos="0" relativeHeight="251659264" behindDoc="1" locked="0" layoutInCell="1" hidden="0" allowOverlap="1" wp14:anchorId="0B70D388" wp14:editId="026FC88D">
          <wp:simplePos x="0" y="0"/>
          <wp:positionH relativeFrom="column">
            <wp:posOffset>4238625</wp:posOffset>
          </wp:positionH>
          <wp:positionV relativeFrom="paragraph">
            <wp:posOffset>-303528</wp:posOffset>
          </wp:positionV>
          <wp:extent cx="1390650" cy="1390650"/>
          <wp:effectExtent l="0" t="0" r="0" b="0"/>
          <wp:wrapNone/>
          <wp:docPr id="19869920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90650" cy="1390650"/>
                  </a:xfrm>
                  <a:prstGeom prst="rect">
                    <a:avLst/>
                  </a:prstGeom>
                  <a:ln/>
                </pic:spPr>
              </pic:pic>
            </a:graphicData>
          </a:graphic>
        </wp:anchor>
      </w:drawing>
    </w:r>
    <w:r w:rsidRPr="002F29FB">
      <w:rPr>
        <w:noProof/>
        <w:lang w:val="en-US" w:eastAsia="en-US"/>
      </w:rPr>
      <mc:AlternateContent>
        <mc:Choice Requires="wps">
          <w:drawing>
            <wp:anchor distT="0" distB="0" distL="114300" distR="114300" simplePos="0" relativeHeight="251660288" behindDoc="0" locked="0" layoutInCell="1" hidden="0" allowOverlap="1" wp14:anchorId="156D68EC" wp14:editId="215ED2D9">
              <wp:simplePos x="0" y="0"/>
              <wp:positionH relativeFrom="column">
                <wp:posOffset>-12699</wp:posOffset>
              </wp:positionH>
              <wp:positionV relativeFrom="paragraph">
                <wp:posOffset>-50799</wp:posOffset>
              </wp:positionV>
              <wp:extent cx="0" cy="28575"/>
              <wp:effectExtent l="0" t="0" r="0" b="0"/>
              <wp:wrapNone/>
              <wp:docPr id="1103881322" name="Straight Arrow Connector 1103881322"/>
              <wp:cNvGraphicFramePr/>
              <a:graphic xmlns:a="http://schemas.openxmlformats.org/drawingml/2006/main">
                <a:graphicData uri="http://schemas.microsoft.com/office/word/2010/wordprocessingShape">
                  <wps:wsp>
                    <wps:cNvCnPr/>
                    <wps:spPr>
                      <a:xfrm>
                        <a:off x="2502788" y="3780000"/>
                        <a:ext cx="5686425"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w:pict>
            <v:shapetype w14:anchorId="20B121F8" id="_x0000_t32" coordsize="21600,21600" o:spt="32" o:oned="t" path="m,l21600,21600e" filled="f">
              <v:path arrowok="t" fillok="f" o:connecttype="none"/>
              <o:lock v:ext="edit" shapetype="t"/>
            </v:shapetype>
            <v:shape id="Straight Arrow Connector 1103881322" o:spid="_x0000_s1026" type="#_x0000_t32" style="position:absolute;margin-left:-1pt;margin-top:-4pt;width:0;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" strokecolor="black [3200]" strokeweight="2.25pt">
              <v:stroke startarrowwidth="narrow" startarrowlength="short" endarrowwidth="narrow" endarrowlength="short" joinstyle="miter"/>
            </v:shape>
          </w:pict>
        </mc:Fallback>
      </mc:AlternateContent>
    </w:r>
  </w:p>
  <w:p w14:paraId="43A3817F" w14:textId="77777777" w:rsidR="00A431BD" w:rsidRPr="002F29FB" w:rsidRDefault="00A431BD" w:rsidP="00A431BD">
    <w:pPr>
      <w:pBdr>
        <w:top w:val="nil"/>
        <w:left w:val="nil"/>
        <w:bottom w:val="nil"/>
        <w:right w:val="nil"/>
        <w:between w:val="nil"/>
      </w:pBdr>
      <w:tabs>
        <w:tab w:val="center" w:pos="4680"/>
        <w:tab w:val="right" w:pos="9360"/>
      </w:tabs>
      <w:jc w:val="both"/>
      <w:rPr>
        <w:color w:val="000000"/>
      </w:rPr>
    </w:pPr>
    <w:r w:rsidRPr="002F29FB">
      <w:rPr>
        <w:color w:val="000000"/>
      </w:rPr>
      <w:t xml:space="preserve">E-ISSN : </w:t>
    </w:r>
    <w:r w:rsidRPr="002F29FB">
      <w:rPr>
        <w:rFonts w:eastAsia="Noto Serif"/>
        <w:color w:val="000000"/>
        <w:sz w:val="21"/>
        <w:szCs w:val="21"/>
        <w:highlight w:val="white"/>
      </w:rPr>
      <w:t>3046-6318</w:t>
    </w:r>
  </w:p>
  <w:p w14:paraId="72ABCBB6" w14:textId="77777777" w:rsidR="00A431BD" w:rsidRPr="002F29FB" w:rsidRDefault="00A431BD" w:rsidP="00A431BD">
    <w:pPr>
      <w:pBdr>
        <w:top w:val="nil"/>
        <w:left w:val="nil"/>
        <w:bottom w:val="nil"/>
        <w:right w:val="nil"/>
        <w:between w:val="nil"/>
      </w:pBdr>
      <w:tabs>
        <w:tab w:val="center" w:pos="4680"/>
        <w:tab w:val="right" w:pos="9360"/>
      </w:tabs>
      <w:jc w:val="both"/>
      <w:rPr>
        <w:color w:val="000000"/>
      </w:rPr>
    </w:pPr>
    <w:hyperlink r:id="rId2">
      <w:r w:rsidRPr="002F29FB">
        <w:rPr>
          <w:color w:val="0000FF"/>
          <w:u w:val="single"/>
        </w:rPr>
        <w:t>https://nawalaeducation.com/index.php/NJ/index</w:t>
      </w:r>
    </w:hyperlink>
  </w:p>
  <w:p w14:paraId="43B2F882" w14:textId="77777777" w:rsidR="00A431BD" w:rsidRPr="002F29FB" w:rsidRDefault="00A431BD" w:rsidP="00A431BD">
    <w:pPr>
      <w:pBdr>
        <w:top w:val="nil"/>
        <w:left w:val="nil"/>
        <w:bottom w:val="nil"/>
        <w:right w:val="nil"/>
        <w:between w:val="nil"/>
      </w:pBdr>
      <w:tabs>
        <w:tab w:val="center" w:pos="4680"/>
        <w:tab w:val="right" w:pos="9360"/>
      </w:tabs>
      <w:jc w:val="both"/>
      <w:rPr>
        <w:color w:val="000000"/>
      </w:rPr>
    </w:pPr>
    <w:r w:rsidRPr="002F29FB">
      <w:rPr>
        <w:color w:val="000000"/>
      </w:rPr>
      <w:t>Vol.3.No.1 February 2026</w:t>
    </w:r>
  </w:p>
  <w:p w14:paraId="43F46293" w14:textId="2F0D4EB8" w:rsidR="00A431BD" w:rsidRPr="002F29FB" w:rsidRDefault="00A431BD" w:rsidP="00A431BD">
    <w:pPr>
      <w:pBdr>
        <w:top w:val="nil"/>
        <w:left w:val="nil"/>
        <w:bottom w:val="nil"/>
        <w:right w:val="nil"/>
        <w:between w:val="nil"/>
      </w:pBdr>
      <w:tabs>
        <w:tab w:val="center" w:pos="4680"/>
        <w:tab w:val="right" w:pos="9360"/>
      </w:tabs>
      <w:jc w:val="both"/>
      <w:rPr>
        <w:color w:val="000000"/>
      </w:rPr>
    </w:pPr>
    <w:r w:rsidRPr="002F29FB">
      <w:rPr>
        <w:color w:val="000000"/>
      </w:rPr>
      <w:t xml:space="preserve">DOI : </w:t>
    </w:r>
    <w:r w:rsidRPr="002F29FB">
      <w:rPr>
        <w:rFonts w:eastAsia="Arial"/>
        <w:color w:val="000000"/>
        <w:sz w:val="16"/>
        <w:szCs w:val="16"/>
      </w:rPr>
      <w:t xml:space="preserve">: </w:t>
    </w:r>
    <w:hyperlink r:id="rId3" w:history="1">
      <w:r w:rsidRPr="00570403">
        <w:rPr>
          <w:rStyle w:val="Hyperlink"/>
          <w:rFonts w:eastAsia="Arial"/>
        </w:rPr>
        <w:t>https://doi.org/</w:t>
      </w:r>
    </w:hyperlink>
    <w:r>
      <w:t xml:space="preserve">   </w:t>
    </w:r>
    <w:r w:rsidRPr="002F29FB">
      <w:rPr>
        <w:rFonts w:eastAsia="Arial"/>
        <w:color w:val="000000"/>
      </w:rPr>
      <w:t xml:space="preserve">  </w:t>
    </w:r>
  </w:p>
  <w:p w14:paraId="7D21F007" w14:textId="1065DE49" w:rsidR="006F5A19" w:rsidRPr="00A431BD" w:rsidRDefault="00A431BD" w:rsidP="00A431BD">
    <w:pPr>
      <w:pBdr>
        <w:top w:val="nil"/>
        <w:left w:val="nil"/>
        <w:bottom w:val="nil"/>
        <w:right w:val="nil"/>
        <w:between w:val="nil"/>
      </w:pBdr>
      <w:tabs>
        <w:tab w:val="center" w:pos="4680"/>
        <w:tab w:val="right" w:pos="9360"/>
      </w:tabs>
      <w:jc w:val="both"/>
      <w:rPr>
        <w:color w:val="000000"/>
      </w:rPr>
    </w:pPr>
    <w:r w:rsidRPr="002F29FB">
      <w:rPr>
        <w:noProof/>
        <w:lang w:val="en-US" w:eastAsia="en-US"/>
      </w:rPr>
      <mc:AlternateContent>
        <mc:Choice Requires="wps">
          <w:drawing>
            <wp:anchor distT="0" distB="0" distL="114300" distR="114300" simplePos="0" relativeHeight="251661312" behindDoc="0" locked="0" layoutInCell="1" hidden="0" allowOverlap="1" wp14:anchorId="4DCB8049" wp14:editId="130545DE">
              <wp:simplePos x="0" y="0"/>
              <wp:positionH relativeFrom="column">
                <wp:posOffset>-12699</wp:posOffset>
              </wp:positionH>
              <wp:positionV relativeFrom="paragraph">
                <wp:posOffset>127000</wp:posOffset>
              </wp:positionV>
              <wp:extent cx="0" cy="28575"/>
              <wp:effectExtent l="0" t="0" r="0" b="0"/>
              <wp:wrapNone/>
              <wp:docPr id="501293929" name="Straight Arrow Connector 501293929"/>
              <wp:cNvGraphicFramePr/>
              <a:graphic xmlns:a="http://schemas.openxmlformats.org/drawingml/2006/main">
                <a:graphicData uri="http://schemas.microsoft.com/office/word/2010/wordprocessingShape">
                  <wps:wsp>
                    <wps:cNvCnPr/>
                    <wps:spPr>
                      <a:xfrm>
                        <a:off x="2502788" y="3780000"/>
                        <a:ext cx="5686425"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w:pict>
            <v:shape w14:anchorId="10497490" id="Straight Arrow Connector 501293929" o:spid="_x0000_s1026" type="#_x0000_t32" style="position:absolute;margin-left:-1pt;margin-top:10pt;width:0;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" strokecolor="black [3200]" strokeweight="2.2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246"/>
    <w:multiLevelType w:val="hybridMultilevel"/>
    <w:tmpl w:val="71509092"/>
    <w:lvl w:ilvl="0" w:tplc="E84438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58776D0"/>
    <w:multiLevelType w:val="hybridMultilevel"/>
    <w:tmpl w:val="479CBF6A"/>
    <w:lvl w:ilvl="0" w:tplc="D6C82D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66758B7"/>
    <w:multiLevelType w:val="hybridMultilevel"/>
    <w:tmpl w:val="44165FB2"/>
    <w:lvl w:ilvl="0" w:tplc="C5E6B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0040C47"/>
    <w:multiLevelType w:val="hybridMultilevel"/>
    <w:tmpl w:val="73C6E710"/>
    <w:lvl w:ilvl="0" w:tplc="C5E6B36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06E10"/>
    <w:multiLevelType w:val="hybridMultilevel"/>
    <w:tmpl w:val="455ADCB8"/>
    <w:lvl w:ilvl="0" w:tplc="A95A5A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13C2F04"/>
    <w:multiLevelType w:val="hybridMultilevel"/>
    <w:tmpl w:val="F4B0CEF6"/>
    <w:lvl w:ilvl="0" w:tplc="D6C82D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420F92"/>
    <w:multiLevelType w:val="hybridMultilevel"/>
    <w:tmpl w:val="9A8EC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50755"/>
    <w:multiLevelType w:val="hybridMultilevel"/>
    <w:tmpl w:val="EACC145C"/>
    <w:lvl w:ilvl="0" w:tplc="E84438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5E57D3A"/>
    <w:multiLevelType w:val="hybridMultilevel"/>
    <w:tmpl w:val="011AB930"/>
    <w:lvl w:ilvl="0" w:tplc="E8443804">
      <w:start w:val="1"/>
      <w:numFmt w:val="decimal"/>
      <w:lvlText w:val="%1."/>
      <w:lvlJc w:val="left"/>
      <w:pPr>
        <w:ind w:left="1495"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6984C69"/>
    <w:multiLevelType w:val="hybridMultilevel"/>
    <w:tmpl w:val="4CEA3DF8"/>
    <w:lvl w:ilvl="0" w:tplc="D6C82D68">
      <w:start w:val="1"/>
      <w:numFmt w:val="decimal"/>
      <w:lvlText w:val="%1."/>
      <w:lvlJc w:val="left"/>
      <w:pPr>
        <w:ind w:left="1495"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D1B243F"/>
    <w:multiLevelType w:val="hybridMultilevel"/>
    <w:tmpl w:val="8B164220"/>
    <w:lvl w:ilvl="0" w:tplc="E8443804">
      <w:start w:val="1"/>
      <w:numFmt w:val="decimal"/>
      <w:lvlText w:val="%1."/>
      <w:lvlJc w:val="left"/>
      <w:pPr>
        <w:ind w:left="1495"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EAC2BB9"/>
    <w:multiLevelType w:val="hybridMultilevel"/>
    <w:tmpl w:val="1DDCF24E"/>
    <w:lvl w:ilvl="0" w:tplc="D25817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C716F77"/>
    <w:multiLevelType w:val="hybridMultilevel"/>
    <w:tmpl w:val="CDEA0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948007">
    <w:abstractNumId w:val="6"/>
  </w:num>
  <w:num w:numId="2" w16cid:durableId="1971201800">
    <w:abstractNumId w:val="12"/>
  </w:num>
  <w:num w:numId="3" w16cid:durableId="908879090">
    <w:abstractNumId w:val="2"/>
  </w:num>
  <w:num w:numId="4" w16cid:durableId="1671907370">
    <w:abstractNumId w:val="3"/>
  </w:num>
  <w:num w:numId="5" w16cid:durableId="2002812178">
    <w:abstractNumId w:val="11"/>
  </w:num>
  <w:num w:numId="6" w16cid:durableId="314342416">
    <w:abstractNumId w:val="4"/>
  </w:num>
  <w:num w:numId="7" w16cid:durableId="2058892997">
    <w:abstractNumId w:val="0"/>
  </w:num>
  <w:num w:numId="8" w16cid:durableId="1189025505">
    <w:abstractNumId w:val="10"/>
  </w:num>
  <w:num w:numId="9" w16cid:durableId="381172916">
    <w:abstractNumId w:val="7"/>
  </w:num>
  <w:num w:numId="10" w16cid:durableId="1192497134">
    <w:abstractNumId w:val="8"/>
  </w:num>
  <w:num w:numId="11" w16cid:durableId="195244140">
    <w:abstractNumId w:val="1"/>
  </w:num>
  <w:num w:numId="12" w16cid:durableId="944921109">
    <w:abstractNumId w:val="9"/>
  </w:num>
  <w:num w:numId="13" w16cid:durableId="401417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F7"/>
    <w:rsid w:val="000206D2"/>
    <w:rsid w:val="00034438"/>
    <w:rsid w:val="0008468B"/>
    <w:rsid w:val="000F4048"/>
    <w:rsid w:val="001B5B72"/>
    <w:rsid w:val="00205DD0"/>
    <w:rsid w:val="00262310"/>
    <w:rsid w:val="00280040"/>
    <w:rsid w:val="002B1FEE"/>
    <w:rsid w:val="002F3A7F"/>
    <w:rsid w:val="00304C7F"/>
    <w:rsid w:val="00333666"/>
    <w:rsid w:val="003A7BCD"/>
    <w:rsid w:val="003B4EE7"/>
    <w:rsid w:val="003D54E3"/>
    <w:rsid w:val="004069F7"/>
    <w:rsid w:val="00515B71"/>
    <w:rsid w:val="005A700C"/>
    <w:rsid w:val="005B1E31"/>
    <w:rsid w:val="005F6B92"/>
    <w:rsid w:val="00601D0F"/>
    <w:rsid w:val="00676F34"/>
    <w:rsid w:val="006C0AD6"/>
    <w:rsid w:val="006F0159"/>
    <w:rsid w:val="006F5A19"/>
    <w:rsid w:val="00703E2A"/>
    <w:rsid w:val="007D0290"/>
    <w:rsid w:val="00810583"/>
    <w:rsid w:val="00844FC4"/>
    <w:rsid w:val="0086286F"/>
    <w:rsid w:val="00896E62"/>
    <w:rsid w:val="009F2946"/>
    <w:rsid w:val="00A431BD"/>
    <w:rsid w:val="00A46B6F"/>
    <w:rsid w:val="00A60F8D"/>
    <w:rsid w:val="00AB344E"/>
    <w:rsid w:val="00AE6438"/>
    <w:rsid w:val="00B01AE0"/>
    <w:rsid w:val="00B114EB"/>
    <w:rsid w:val="00B41B51"/>
    <w:rsid w:val="00B443ED"/>
    <w:rsid w:val="00BD0933"/>
    <w:rsid w:val="00C0263D"/>
    <w:rsid w:val="00C45833"/>
    <w:rsid w:val="00C52249"/>
    <w:rsid w:val="00C76582"/>
    <w:rsid w:val="00C87D99"/>
    <w:rsid w:val="00D11047"/>
    <w:rsid w:val="00D11066"/>
    <w:rsid w:val="00D279DF"/>
    <w:rsid w:val="00D46E95"/>
    <w:rsid w:val="00D8400F"/>
    <w:rsid w:val="00DA2230"/>
    <w:rsid w:val="00DA626C"/>
    <w:rsid w:val="00DC4D93"/>
    <w:rsid w:val="00DC7C8C"/>
    <w:rsid w:val="00DD518F"/>
    <w:rsid w:val="00E008BF"/>
    <w:rsid w:val="00E11DAA"/>
    <w:rsid w:val="00E37FE4"/>
    <w:rsid w:val="00EA1980"/>
    <w:rsid w:val="00EA4DD2"/>
    <w:rsid w:val="00FB08E9"/>
    <w:rsid w:val="00FE2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FAB2"/>
  <w15:docId w15:val="{A09F6CBF-D7C0-41BB-B669-F00759CE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6"/>
    <w:rPr>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6F41E6"/>
    <w:pPr>
      <w:ind w:firstLine="851"/>
      <w:jc w:val="both"/>
    </w:pPr>
    <w:rPr>
      <w:noProof/>
      <w:szCs w:val="22"/>
      <w:lang w:val="en-US"/>
    </w:rPr>
  </w:style>
  <w:style w:type="paragraph" w:customStyle="1" w:styleId="Default">
    <w:name w:val="Default"/>
    <w:rsid w:val="006F41E6"/>
    <w:pPr>
      <w:autoSpaceDE w:val="0"/>
      <w:autoSpaceDN w:val="0"/>
      <w:adjustRightInd w:val="0"/>
    </w:pPr>
    <w:rPr>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semiHidden/>
    <w:unhideWhenUsed/>
    <w:rsid w:val="00207464"/>
    <w:rPr>
      <w:sz w:val="20"/>
      <w:szCs w:val="20"/>
      <w:lang w:val="en-US" w:eastAsia="en-US"/>
    </w:rPr>
  </w:style>
  <w:style w:type="character" w:customStyle="1" w:styleId="FootnoteTextChar">
    <w:name w:val="Footnote Text Char"/>
    <w:basedOn w:val="DefaultParagraphFont"/>
    <w:link w:val="FootnoteText"/>
    <w:semiHidden/>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customStyle="1" w:styleId="PlainTable31">
    <w:name w:val="Plain Table 31"/>
    <w:basedOn w:val="TableNormal"/>
    <w:uiPriority w:val="43"/>
    <w:rsid w:val="002F54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46B6F"/>
    <w:pPr>
      <w:spacing w:before="100" w:beforeAutospacing="1" w:after="100" w:afterAutospacing="1"/>
    </w:pPr>
    <w:rPr>
      <w:lang w:val="en-US" w:eastAsia="en-US"/>
    </w:rPr>
  </w:style>
  <w:style w:type="table" w:styleId="PlainTable2">
    <w:name w:val="Plain Table 2"/>
    <w:basedOn w:val="TableNormal"/>
    <w:uiPriority w:val="42"/>
    <w:rsid w:val="00C87D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205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741">
      <w:bodyDiv w:val="1"/>
      <w:marLeft w:val="0"/>
      <w:marRight w:val="0"/>
      <w:marTop w:val="0"/>
      <w:marBottom w:val="0"/>
      <w:divBdr>
        <w:top w:val="none" w:sz="0" w:space="0" w:color="auto"/>
        <w:left w:val="none" w:sz="0" w:space="0" w:color="auto"/>
        <w:bottom w:val="none" w:sz="0" w:space="0" w:color="auto"/>
        <w:right w:val="none" w:sz="0" w:space="0" w:color="auto"/>
      </w:divBdr>
    </w:div>
    <w:div w:id="47341573">
      <w:bodyDiv w:val="1"/>
      <w:marLeft w:val="0"/>
      <w:marRight w:val="0"/>
      <w:marTop w:val="0"/>
      <w:marBottom w:val="0"/>
      <w:divBdr>
        <w:top w:val="none" w:sz="0" w:space="0" w:color="auto"/>
        <w:left w:val="none" w:sz="0" w:space="0" w:color="auto"/>
        <w:bottom w:val="none" w:sz="0" w:space="0" w:color="auto"/>
        <w:right w:val="none" w:sz="0" w:space="0" w:color="auto"/>
      </w:divBdr>
    </w:div>
    <w:div w:id="93719581">
      <w:bodyDiv w:val="1"/>
      <w:marLeft w:val="0"/>
      <w:marRight w:val="0"/>
      <w:marTop w:val="0"/>
      <w:marBottom w:val="0"/>
      <w:divBdr>
        <w:top w:val="none" w:sz="0" w:space="0" w:color="auto"/>
        <w:left w:val="none" w:sz="0" w:space="0" w:color="auto"/>
        <w:bottom w:val="none" w:sz="0" w:space="0" w:color="auto"/>
        <w:right w:val="none" w:sz="0" w:space="0" w:color="auto"/>
      </w:divBdr>
    </w:div>
    <w:div w:id="108478168">
      <w:bodyDiv w:val="1"/>
      <w:marLeft w:val="0"/>
      <w:marRight w:val="0"/>
      <w:marTop w:val="0"/>
      <w:marBottom w:val="0"/>
      <w:divBdr>
        <w:top w:val="none" w:sz="0" w:space="0" w:color="auto"/>
        <w:left w:val="none" w:sz="0" w:space="0" w:color="auto"/>
        <w:bottom w:val="none" w:sz="0" w:space="0" w:color="auto"/>
        <w:right w:val="none" w:sz="0" w:space="0" w:color="auto"/>
      </w:divBdr>
    </w:div>
    <w:div w:id="134689549">
      <w:bodyDiv w:val="1"/>
      <w:marLeft w:val="0"/>
      <w:marRight w:val="0"/>
      <w:marTop w:val="0"/>
      <w:marBottom w:val="0"/>
      <w:divBdr>
        <w:top w:val="none" w:sz="0" w:space="0" w:color="auto"/>
        <w:left w:val="none" w:sz="0" w:space="0" w:color="auto"/>
        <w:bottom w:val="none" w:sz="0" w:space="0" w:color="auto"/>
        <w:right w:val="none" w:sz="0" w:space="0" w:color="auto"/>
      </w:divBdr>
    </w:div>
    <w:div w:id="170872206">
      <w:bodyDiv w:val="1"/>
      <w:marLeft w:val="0"/>
      <w:marRight w:val="0"/>
      <w:marTop w:val="0"/>
      <w:marBottom w:val="0"/>
      <w:divBdr>
        <w:top w:val="none" w:sz="0" w:space="0" w:color="auto"/>
        <w:left w:val="none" w:sz="0" w:space="0" w:color="auto"/>
        <w:bottom w:val="none" w:sz="0" w:space="0" w:color="auto"/>
        <w:right w:val="none" w:sz="0" w:space="0" w:color="auto"/>
      </w:divBdr>
    </w:div>
    <w:div w:id="273099338">
      <w:bodyDiv w:val="1"/>
      <w:marLeft w:val="0"/>
      <w:marRight w:val="0"/>
      <w:marTop w:val="0"/>
      <w:marBottom w:val="0"/>
      <w:divBdr>
        <w:top w:val="none" w:sz="0" w:space="0" w:color="auto"/>
        <w:left w:val="none" w:sz="0" w:space="0" w:color="auto"/>
        <w:bottom w:val="none" w:sz="0" w:space="0" w:color="auto"/>
        <w:right w:val="none" w:sz="0" w:space="0" w:color="auto"/>
      </w:divBdr>
    </w:div>
    <w:div w:id="328993162">
      <w:bodyDiv w:val="1"/>
      <w:marLeft w:val="0"/>
      <w:marRight w:val="0"/>
      <w:marTop w:val="0"/>
      <w:marBottom w:val="0"/>
      <w:divBdr>
        <w:top w:val="none" w:sz="0" w:space="0" w:color="auto"/>
        <w:left w:val="none" w:sz="0" w:space="0" w:color="auto"/>
        <w:bottom w:val="none" w:sz="0" w:space="0" w:color="auto"/>
        <w:right w:val="none" w:sz="0" w:space="0" w:color="auto"/>
      </w:divBdr>
    </w:div>
    <w:div w:id="333722512">
      <w:bodyDiv w:val="1"/>
      <w:marLeft w:val="0"/>
      <w:marRight w:val="0"/>
      <w:marTop w:val="0"/>
      <w:marBottom w:val="0"/>
      <w:divBdr>
        <w:top w:val="none" w:sz="0" w:space="0" w:color="auto"/>
        <w:left w:val="none" w:sz="0" w:space="0" w:color="auto"/>
        <w:bottom w:val="none" w:sz="0" w:space="0" w:color="auto"/>
        <w:right w:val="none" w:sz="0" w:space="0" w:color="auto"/>
      </w:divBdr>
    </w:div>
    <w:div w:id="356547074">
      <w:bodyDiv w:val="1"/>
      <w:marLeft w:val="0"/>
      <w:marRight w:val="0"/>
      <w:marTop w:val="0"/>
      <w:marBottom w:val="0"/>
      <w:divBdr>
        <w:top w:val="none" w:sz="0" w:space="0" w:color="auto"/>
        <w:left w:val="none" w:sz="0" w:space="0" w:color="auto"/>
        <w:bottom w:val="none" w:sz="0" w:space="0" w:color="auto"/>
        <w:right w:val="none" w:sz="0" w:space="0" w:color="auto"/>
      </w:divBdr>
    </w:div>
    <w:div w:id="432288162">
      <w:bodyDiv w:val="1"/>
      <w:marLeft w:val="0"/>
      <w:marRight w:val="0"/>
      <w:marTop w:val="0"/>
      <w:marBottom w:val="0"/>
      <w:divBdr>
        <w:top w:val="none" w:sz="0" w:space="0" w:color="auto"/>
        <w:left w:val="none" w:sz="0" w:space="0" w:color="auto"/>
        <w:bottom w:val="none" w:sz="0" w:space="0" w:color="auto"/>
        <w:right w:val="none" w:sz="0" w:space="0" w:color="auto"/>
      </w:divBdr>
    </w:div>
    <w:div w:id="574824808">
      <w:bodyDiv w:val="1"/>
      <w:marLeft w:val="0"/>
      <w:marRight w:val="0"/>
      <w:marTop w:val="0"/>
      <w:marBottom w:val="0"/>
      <w:divBdr>
        <w:top w:val="none" w:sz="0" w:space="0" w:color="auto"/>
        <w:left w:val="none" w:sz="0" w:space="0" w:color="auto"/>
        <w:bottom w:val="none" w:sz="0" w:space="0" w:color="auto"/>
        <w:right w:val="none" w:sz="0" w:space="0" w:color="auto"/>
      </w:divBdr>
      <w:divsChild>
        <w:div w:id="1979215737">
          <w:marLeft w:val="0"/>
          <w:marRight w:val="0"/>
          <w:marTop w:val="0"/>
          <w:marBottom w:val="0"/>
          <w:divBdr>
            <w:top w:val="none" w:sz="0" w:space="0" w:color="auto"/>
            <w:left w:val="none" w:sz="0" w:space="0" w:color="auto"/>
            <w:bottom w:val="none" w:sz="0" w:space="0" w:color="auto"/>
            <w:right w:val="none" w:sz="0" w:space="0" w:color="auto"/>
          </w:divBdr>
          <w:divsChild>
            <w:div w:id="1001854036">
              <w:marLeft w:val="0"/>
              <w:marRight w:val="0"/>
              <w:marTop w:val="0"/>
              <w:marBottom w:val="0"/>
              <w:divBdr>
                <w:top w:val="none" w:sz="0" w:space="0" w:color="auto"/>
                <w:left w:val="none" w:sz="0" w:space="0" w:color="auto"/>
                <w:bottom w:val="none" w:sz="0" w:space="0" w:color="auto"/>
                <w:right w:val="none" w:sz="0" w:space="0" w:color="auto"/>
              </w:divBdr>
              <w:divsChild>
                <w:div w:id="1351953689">
                  <w:marLeft w:val="0"/>
                  <w:marRight w:val="0"/>
                  <w:marTop w:val="0"/>
                  <w:marBottom w:val="0"/>
                  <w:divBdr>
                    <w:top w:val="none" w:sz="0" w:space="0" w:color="auto"/>
                    <w:left w:val="none" w:sz="0" w:space="0" w:color="auto"/>
                    <w:bottom w:val="none" w:sz="0" w:space="0" w:color="auto"/>
                    <w:right w:val="none" w:sz="0" w:space="0" w:color="auto"/>
                  </w:divBdr>
                  <w:divsChild>
                    <w:div w:id="1525241684">
                      <w:marLeft w:val="0"/>
                      <w:marRight w:val="0"/>
                      <w:marTop w:val="0"/>
                      <w:marBottom w:val="0"/>
                      <w:divBdr>
                        <w:top w:val="none" w:sz="0" w:space="0" w:color="auto"/>
                        <w:left w:val="none" w:sz="0" w:space="0" w:color="auto"/>
                        <w:bottom w:val="none" w:sz="0" w:space="0" w:color="auto"/>
                        <w:right w:val="none" w:sz="0" w:space="0" w:color="auto"/>
                      </w:divBdr>
                      <w:divsChild>
                        <w:div w:id="274486637">
                          <w:marLeft w:val="0"/>
                          <w:marRight w:val="0"/>
                          <w:marTop w:val="0"/>
                          <w:marBottom w:val="0"/>
                          <w:divBdr>
                            <w:top w:val="none" w:sz="0" w:space="0" w:color="auto"/>
                            <w:left w:val="none" w:sz="0" w:space="0" w:color="auto"/>
                            <w:bottom w:val="none" w:sz="0" w:space="0" w:color="auto"/>
                            <w:right w:val="none" w:sz="0" w:space="0" w:color="auto"/>
                          </w:divBdr>
                          <w:divsChild>
                            <w:div w:id="26755487">
                              <w:marLeft w:val="0"/>
                              <w:marRight w:val="0"/>
                              <w:marTop w:val="0"/>
                              <w:marBottom w:val="0"/>
                              <w:divBdr>
                                <w:top w:val="none" w:sz="0" w:space="0" w:color="auto"/>
                                <w:left w:val="none" w:sz="0" w:space="0" w:color="auto"/>
                                <w:bottom w:val="none" w:sz="0" w:space="0" w:color="auto"/>
                                <w:right w:val="none" w:sz="0" w:space="0" w:color="auto"/>
                              </w:divBdr>
                              <w:divsChild>
                                <w:div w:id="3848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43665">
      <w:bodyDiv w:val="1"/>
      <w:marLeft w:val="0"/>
      <w:marRight w:val="0"/>
      <w:marTop w:val="0"/>
      <w:marBottom w:val="0"/>
      <w:divBdr>
        <w:top w:val="none" w:sz="0" w:space="0" w:color="auto"/>
        <w:left w:val="none" w:sz="0" w:space="0" w:color="auto"/>
        <w:bottom w:val="none" w:sz="0" w:space="0" w:color="auto"/>
        <w:right w:val="none" w:sz="0" w:space="0" w:color="auto"/>
      </w:divBdr>
    </w:div>
    <w:div w:id="601491474">
      <w:bodyDiv w:val="1"/>
      <w:marLeft w:val="0"/>
      <w:marRight w:val="0"/>
      <w:marTop w:val="0"/>
      <w:marBottom w:val="0"/>
      <w:divBdr>
        <w:top w:val="none" w:sz="0" w:space="0" w:color="auto"/>
        <w:left w:val="none" w:sz="0" w:space="0" w:color="auto"/>
        <w:bottom w:val="none" w:sz="0" w:space="0" w:color="auto"/>
        <w:right w:val="none" w:sz="0" w:space="0" w:color="auto"/>
      </w:divBdr>
    </w:div>
    <w:div w:id="615525742">
      <w:bodyDiv w:val="1"/>
      <w:marLeft w:val="0"/>
      <w:marRight w:val="0"/>
      <w:marTop w:val="0"/>
      <w:marBottom w:val="0"/>
      <w:divBdr>
        <w:top w:val="none" w:sz="0" w:space="0" w:color="auto"/>
        <w:left w:val="none" w:sz="0" w:space="0" w:color="auto"/>
        <w:bottom w:val="none" w:sz="0" w:space="0" w:color="auto"/>
        <w:right w:val="none" w:sz="0" w:space="0" w:color="auto"/>
      </w:divBdr>
    </w:div>
    <w:div w:id="808985010">
      <w:bodyDiv w:val="1"/>
      <w:marLeft w:val="0"/>
      <w:marRight w:val="0"/>
      <w:marTop w:val="0"/>
      <w:marBottom w:val="0"/>
      <w:divBdr>
        <w:top w:val="none" w:sz="0" w:space="0" w:color="auto"/>
        <w:left w:val="none" w:sz="0" w:space="0" w:color="auto"/>
        <w:bottom w:val="none" w:sz="0" w:space="0" w:color="auto"/>
        <w:right w:val="none" w:sz="0" w:space="0" w:color="auto"/>
      </w:divBdr>
    </w:div>
    <w:div w:id="856697709">
      <w:bodyDiv w:val="1"/>
      <w:marLeft w:val="0"/>
      <w:marRight w:val="0"/>
      <w:marTop w:val="0"/>
      <w:marBottom w:val="0"/>
      <w:divBdr>
        <w:top w:val="none" w:sz="0" w:space="0" w:color="auto"/>
        <w:left w:val="none" w:sz="0" w:space="0" w:color="auto"/>
        <w:bottom w:val="none" w:sz="0" w:space="0" w:color="auto"/>
        <w:right w:val="none" w:sz="0" w:space="0" w:color="auto"/>
      </w:divBdr>
    </w:div>
    <w:div w:id="921528112">
      <w:bodyDiv w:val="1"/>
      <w:marLeft w:val="0"/>
      <w:marRight w:val="0"/>
      <w:marTop w:val="0"/>
      <w:marBottom w:val="0"/>
      <w:divBdr>
        <w:top w:val="none" w:sz="0" w:space="0" w:color="auto"/>
        <w:left w:val="none" w:sz="0" w:space="0" w:color="auto"/>
        <w:bottom w:val="none" w:sz="0" w:space="0" w:color="auto"/>
        <w:right w:val="none" w:sz="0" w:space="0" w:color="auto"/>
      </w:divBdr>
    </w:div>
    <w:div w:id="924344980">
      <w:bodyDiv w:val="1"/>
      <w:marLeft w:val="0"/>
      <w:marRight w:val="0"/>
      <w:marTop w:val="0"/>
      <w:marBottom w:val="0"/>
      <w:divBdr>
        <w:top w:val="none" w:sz="0" w:space="0" w:color="auto"/>
        <w:left w:val="none" w:sz="0" w:space="0" w:color="auto"/>
        <w:bottom w:val="none" w:sz="0" w:space="0" w:color="auto"/>
        <w:right w:val="none" w:sz="0" w:space="0" w:color="auto"/>
      </w:divBdr>
    </w:div>
    <w:div w:id="968172777">
      <w:bodyDiv w:val="1"/>
      <w:marLeft w:val="0"/>
      <w:marRight w:val="0"/>
      <w:marTop w:val="0"/>
      <w:marBottom w:val="0"/>
      <w:divBdr>
        <w:top w:val="none" w:sz="0" w:space="0" w:color="auto"/>
        <w:left w:val="none" w:sz="0" w:space="0" w:color="auto"/>
        <w:bottom w:val="none" w:sz="0" w:space="0" w:color="auto"/>
        <w:right w:val="none" w:sz="0" w:space="0" w:color="auto"/>
      </w:divBdr>
    </w:div>
    <w:div w:id="1022323853">
      <w:bodyDiv w:val="1"/>
      <w:marLeft w:val="0"/>
      <w:marRight w:val="0"/>
      <w:marTop w:val="0"/>
      <w:marBottom w:val="0"/>
      <w:divBdr>
        <w:top w:val="none" w:sz="0" w:space="0" w:color="auto"/>
        <w:left w:val="none" w:sz="0" w:space="0" w:color="auto"/>
        <w:bottom w:val="none" w:sz="0" w:space="0" w:color="auto"/>
        <w:right w:val="none" w:sz="0" w:space="0" w:color="auto"/>
      </w:divBdr>
    </w:div>
    <w:div w:id="1086225421">
      <w:bodyDiv w:val="1"/>
      <w:marLeft w:val="0"/>
      <w:marRight w:val="0"/>
      <w:marTop w:val="0"/>
      <w:marBottom w:val="0"/>
      <w:divBdr>
        <w:top w:val="none" w:sz="0" w:space="0" w:color="auto"/>
        <w:left w:val="none" w:sz="0" w:space="0" w:color="auto"/>
        <w:bottom w:val="none" w:sz="0" w:space="0" w:color="auto"/>
        <w:right w:val="none" w:sz="0" w:space="0" w:color="auto"/>
      </w:divBdr>
    </w:div>
    <w:div w:id="1120997856">
      <w:bodyDiv w:val="1"/>
      <w:marLeft w:val="0"/>
      <w:marRight w:val="0"/>
      <w:marTop w:val="0"/>
      <w:marBottom w:val="0"/>
      <w:divBdr>
        <w:top w:val="none" w:sz="0" w:space="0" w:color="auto"/>
        <w:left w:val="none" w:sz="0" w:space="0" w:color="auto"/>
        <w:bottom w:val="none" w:sz="0" w:space="0" w:color="auto"/>
        <w:right w:val="none" w:sz="0" w:space="0" w:color="auto"/>
      </w:divBdr>
    </w:div>
    <w:div w:id="1218322507">
      <w:bodyDiv w:val="1"/>
      <w:marLeft w:val="0"/>
      <w:marRight w:val="0"/>
      <w:marTop w:val="0"/>
      <w:marBottom w:val="0"/>
      <w:divBdr>
        <w:top w:val="none" w:sz="0" w:space="0" w:color="auto"/>
        <w:left w:val="none" w:sz="0" w:space="0" w:color="auto"/>
        <w:bottom w:val="none" w:sz="0" w:space="0" w:color="auto"/>
        <w:right w:val="none" w:sz="0" w:space="0" w:color="auto"/>
      </w:divBdr>
    </w:div>
    <w:div w:id="1322541614">
      <w:bodyDiv w:val="1"/>
      <w:marLeft w:val="0"/>
      <w:marRight w:val="0"/>
      <w:marTop w:val="0"/>
      <w:marBottom w:val="0"/>
      <w:divBdr>
        <w:top w:val="none" w:sz="0" w:space="0" w:color="auto"/>
        <w:left w:val="none" w:sz="0" w:space="0" w:color="auto"/>
        <w:bottom w:val="none" w:sz="0" w:space="0" w:color="auto"/>
        <w:right w:val="none" w:sz="0" w:space="0" w:color="auto"/>
      </w:divBdr>
    </w:div>
    <w:div w:id="1413429683">
      <w:bodyDiv w:val="1"/>
      <w:marLeft w:val="0"/>
      <w:marRight w:val="0"/>
      <w:marTop w:val="0"/>
      <w:marBottom w:val="0"/>
      <w:divBdr>
        <w:top w:val="none" w:sz="0" w:space="0" w:color="auto"/>
        <w:left w:val="none" w:sz="0" w:space="0" w:color="auto"/>
        <w:bottom w:val="none" w:sz="0" w:space="0" w:color="auto"/>
        <w:right w:val="none" w:sz="0" w:space="0" w:color="auto"/>
      </w:divBdr>
    </w:div>
    <w:div w:id="1522086154">
      <w:bodyDiv w:val="1"/>
      <w:marLeft w:val="0"/>
      <w:marRight w:val="0"/>
      <w:marTop w:val="0"/>
      <w:marBottom w:val="0"/>
      <w:divBdr>
        <w:top w:val="none" w:sz="0" w:space="0" w:color="auto"/>
        <w:left w:val="none" w:sz="0" w:space="0" w:color="auto"/>
        <w:bottom w:val="none" w:sz="0" w:space="0" w:color="auto"/>
        <w:right w:val="none" w:sz="0" w:space="0" w:color="auto"/>
      </w:divBdr>
    </w:div>
    <w:div w:id="1534732813">
      <w:bodyDiv w:val="1"/>
      <w:marLeft w:val="0"/>
      <w:marRight w:val="0"/>
      <w:marTop w:val="0"/>
      <w:marBottom w:val="0"/>
      <w:divBdr>
        <w:top w:val="none" w:sz="0" w:space="0" w:color="auto"/>
        <w:left w:val="none" w:sz="0" w:space="0" w:color="auto"/>
        <w:bottom w:val="none" w:sz="0" w:space="0" w:color="auto"/>
        <w:right w:val="none" w:sz="0" w:space="0" w:color="auto"/>
      </w:divBdr>
    </w:div>
    <w:div w:id="1569225774">
      <w:bodyDiv w:val="1"/>
      <w:marLeft w:val="0"/>
      <w:marRight w:val="0"/>
      <w:marTop w:val="0"/>
      <w:marBottom w:val="0"/>
      <w:divBdr>
        <w:top w:val="none" w:sz="0" w:space="0" w:color="auto"/>
        <w:left w:val="none" w:sz="0" w:space="0" w:color="auto"/>
        <w:bottom w:val="none" w:sz="0" w:space="0" w:color="auto"/>
        <w:right w:val="none" w:sz="0" w:space="0" w:color="auto"/>
      </w:divBdr>
    </w:div>
    <w:div w:id="1624651825">
      <w:bodyDiv w:val="1"/>
      <w:marLeft w:val="0"/>
      <w:marRight w:val="0"/>
      <w:marTop w:val="0"/>
      <w:marBottom w:val="0"/>
      <w:divBdr>
        <w:top w:val="none" w:sz="0" w:space="0" w:color="auto"/>
        <w:left w:val="none" w:sz="0" w:space="0" w:color="auto"/>
        <w:bottom w:val="none" w:sz="0" w:space="0" w:color="auto"/>
        <w:right w:val="none" w:sz="0" w:space="0" w:color="auto"/>
      </w:divBdr>
    </w:div>
    <w:div w:id="1655527495">
      <w:bodyDiv w:val="1"/>
      <w:marLeft w:val="0"/>
      <w:marRight w:val="0"/>
      <w:marTop w:val="0"/>
      <w:marBottom w:val="0"/>
      <w:divBdr>
        <w:top w:val="none" w:sz="0" w:space="0" w:color="auto"/>
        <w:left w:val="none" w:sz="0" w:space="0" w:color="auto"/>
        <w:bottom w:val="none" w:sz="0" w:space="0" w:color="auto"/>
        <w:right w:val="none" w:sz="0" w:space="0" w:color="auto"/>
      </w:divBdr>
    </w:div>
    <w:div w:id="1735157654">
      <w:bodyDiv w:val="1"/>
      <w:marLeft w:val="0"/>
      <w:marRight w:val="0"/>
      <w:marTop w:val="0"/>
      <w:marBottom w:val="0"/>
      <w:divBdr>
        <w:top w:val="none" w:sz="0" w:space="0" w:color="auto"/>
        <w:left w:val="none" w:sz="0" w:space="0" w:color="auto"/>
        <w:bottom w:val="none" w:sz="0" w:space="0" w:color="auto"/>
        <w:right w:val="none" w:sz="0" w:space="0" w:color="auto"/>
      </w:divBdr>
    </w:div>
    <w:div w:id="1793938876">
      <w:bodyDiv w:val="1"/>
      <w:marLeft w:val="0"/>
      <w:marRight w:val="0"/>
      <w:marTop w:val="0"/>
      <w:marBottom w:val="0"/>
      <w:divBdr>
        <w:top w:val="none" w:sz="0" w:space="0" w:color="auto"/>
        <w:left w:val="none" w:sz="0" w:space="0" w:color="auto"/>
        <w:bottom w:val="none" w:sz="0" w:space="0" w:color="auto"/>
        <w:right w:val="none" w:sz="0" w:space="0" w:color="auto"/>
      </w:divBdr>
    </w:div>
    <w:div w:id="1882858319">
      <w:bodyDiv w:val="1"/>
      <w:marLeft w:val="0"/>
      <w:marRight w:val="0"/>
      <w:marTop w:val="0"/>
      <w:marBottom w:val="0"/>
      <w:divBdr>
        <w:top w:val="none" w:sz="0" w:space="0" w:color="auto"/>
        <w:left w:val="none" w:sz="0" w:space="0" w:color="auto"/>
        <w:bottom w:val="none" w:sz="0" w:space="0" w:color="auto"/>
        <w:right w:val="none" w:sz="0" w:space="0" w:color="auto"/>
      </w:divBdr>
    </w:div>
    <w:div w:id="1926962913">
      <w:bodyDiv w:val="1"/>
      <w:marLeft w:val="0"/>
      <w:marRight w:val="0"/>
      <w:marTop w:val="0"/>
      <w:marBottom w:val="0"/>
      <w:divBdr>
        <w:top w:val="none" w:sz="0" w:space="0" w:color="auto"/>
        <w:left w:val="none" w:sz="0" w:space="0" w:color="auto"/>
        <w:bottom w:val="none" w:sz="0" w:space="0" w:color="auto"/>
        <w:right w:val="none" w:sz="0" w:space="0" w:color="auto"/>
      </w:divBdr>
    </w:div>
    <w:div w:id="1928733470">
      <w:bodyDiv w:val="1"/>
      <w:marLeft w:val="0"/>
      <w:marRight w:val="0"/>
      <w:marTop w:val="0"/>
      <w:marBottom w:val="0"/>
      <w:divBdr>
        <w:top w:val="none" w:sz="0" w:space="0" w:color="auto"/>
        <w:left w:val="none" w:sz="0" w:space="0" w:color="auto"/>
        <w:bottom w:val="none" w:sz="0" w:space="0" w:color="auto"/>
        <w:right w:val="none" w:sz="0" w:space="0" w:color="auto"/>
      </w:divBdr>
    </w:div>
    <w:div w:id="1930502455">
      <w:bodyDiv w:val="1"/>
      <w:marLeft w:val="0"/>
      <w:marRight w:val="0"/>
      <w:marTop w:val="0"/>
      <w:marBottom w:val="0"/>
      <w:divBdr>
        <w:top w:val="none" w:sz="0" w:space="0" w:color="auto"/>
        <w:left w:val="none" w:sz="0" w:space="0" w:color="auto"/>
        <w:bottom w:val="none" w:sz="0" w:space="0" w:color="auto"/>
        <w:right w:val="none" w:sz="0" w:space="0" w:color="auto"/>
      </w:divBdr>
    </w:div>
    <w:div w:id="2005163047">
      <w:bodyDiv w:val="1"/>
      <w:marLeft w:val="0"/>
      <w:marRight w:val="0"/>
      <w:marTop w:val="0"/>
      <w:marBottom w:val="0"/>
      <w:divBdr>
        <w:top w:val="none" w:sz="0" w:space="0" w:color="auto"/>
        <w:left w:val="none" w:sz="0" w:space="0" w:color="auto"/>
        <w:bottom w:val="none" w:sz="0" w:space="0" w:color="auto"/>
        <w:right w:val="none" w:sz="0" w:space="0" w:color="auto"/>
      </w:divBdr>
    </w:div>
    <w:div w:id="2024739900">
      <w:bodyDiv w:val="1"/>
      <w:marLeft w:val="0"/>
      <w:marRight w:val="0"/>
      <w:marTop w:val="0"/>
      <w:marBottom w:val="0"/>
      <w:divBdr>
        <w:top w:val="none" w:sz="0" w:space="0" w:color="auto"/>
        <w:left w:val="none" w:sz="0" w:space="0" w:color="auto"/>
        <w:bottom w:val="none" w:sz="0" w:space="0" w:color="auto"/>
        <w:right w:val="none" w:sz="0" w:space="0" w:color="auto"/>
      </w:divBdr>
      <w:divsChild>
        <w:div w:id="362176445">
          <w:marLeft w:val="0"/>
          <w:marRight w:val="0"/>
          <w:marTop w:val="0"/>
          <w:marBottom w:val="0"/>
          <w:divBdr>
            <w:top w:val="none" w:sz="0" w:space="0" w:color="auto"/>
            <w:left w:val="none" w:sz="0" w:space="0" w:color="auto"/>
            <w:bottom w:val="none" w:sz="0" w:space="0" w:color="auto"/>
            <w:right w:val="none" w:sz="0" w:space="0" w:color="auto"/>
          </w:divBdr>
          <w:divsChild>
            <w:div w:id="932398853">
              <w:marLeft w:val="0"/>
              <w:marRight w:val="0"/>
              <w:marTop w:val="0"/>
              <w:marBottom w:val="0"/>
              <w:divBdr>
                <w:top w:val="none" w:sz="0" w:space="0" w:color="auto"/>
                <w:left w:val="none" w:sz="0" w:space="0" w:color="auto"/>
                <w:bottom w:val="none" w:sz="0" w:space="0" w:color="auto"/>
                <w:right w:val="none" w:sz="0" w:space="0" w:color="auto"/>
              </w:divBdr>
              <w:divsChild>
                <w:div w:id="1692336273">
                  <w:marLeft w:val="0"/>
                  <w:marRight w:val="0"/>
                  <w:marTop w:val="0"/>
                  <w:marBottom w:val="0"/>
                  <w:divBdr>
                    <w:top w:val="none" w:sz="0" w:space="0" w:color="auto"/>
                    <w:left w:val="none" w:sz="0" w:space="0" w:color="auto"/>
                    <w:bottom w:val="none" w:sz="0" w:space="0" w:color="auto"/>
                    <w:right w:val="none" w:sz="0" w:space="0" w:color="auto"/>
                  </w:divBdr>
                  <w:divsChild>
                    <w:div w:id="419377535">
                      <w:marLeft w:val="0"/>
                      <w:marRight w:val="0"/>
                      <w:marTop w:val="0"/>
                      <w:marBottom w:val="0"/>
                      <w:divBdr>
                        <w:top w:val="none" w:sz="0" w:space="0" w:color="auto"/>
                        <w:left w:val="none" w:sz="0" w:space="0" w:color="auto"/>
                        <w:bottom w:val="none" w:sz="0" w:space="0" w:color="auto"/>
                        <w:right w:val="none" w:sz="0" w:space="0" w:color="auto"/>
                      </w:divBdr>
                      <w:divsChild>
                        <w:div w:id="1302611360">
                          <w:marLeft w:val="0"/>
                          <w:marRight w:val="0"/>
                          <w:marTop w:val="0"/>
                          <w:marBottom w:val="0"/>
                          <w:divBdr>
                            <w:top w:val="none" w:sz="0" w:space="0" w:color="auto"/>
                            <w:left w:val="none" w:sz="0" w:space="0" w:color="auto"/>
                            <w:bottom w:val="none" w:sz="0" w:space="0" w:color="auto"/>
                            <w:right w:val="none" w:sz="0" w:space="0" w:color="auto"/>
                          </w:divBdr>
                          <w:divsChild>
                            <w:div w:id="1472401925">
                              <w:marLeft w:val="0"/>
                              <w:marRight w:val="0"/>
                              <w:marTop w:val="0"/>
                              <w:marBottom w:val="0"/>
                              <w:divBdr>
                                <w:top w:val="none" w:sz="0" w:space="0" w:color="auto"/>
                                <w:left w:val="none" w:sz="0" w:space="0" w:color="auto"/>
                                <w:bottom w:val="none" w:sz="0" w:space="0" w:color="auto"/>
                                <w:right w:val="none" w:sz="0" w:space="0" w:color="auto"/>
                              </w:divBdr>
                              <w:divsChild>
                                <w:div w:id="2536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15223">
      <w:bodyDiv w:val="1"/>
      <w:marLeft w:val="0"/>
      <w:marRight w:val="0"/>
      <w:marTop w:val="0"/>
      <w:marBottom w:val="0"/>
      <w:divBdr>
        <w:top w:val="none" w:sz="0" w:space="0" w:color="auto"/>
        <w:left w:val="none" w:sz="0" w:space="0" w:color="auto"/>
        <w:bottom w:val="none" w:sz="0" w:space="0" w:color="auto"/>
        <w:right w:val="none" w:sz="0" w:space="0" w:color="auto"/>
      </w:divBdr>
    </w:div>
    <w:div w:id="2053535483">
      <w:bodyDiv w:val="1"/>
      <w:marLeft w:val="0"/>
      <w:marRight w:val="0"/>
      <w:marTop w:val="0"/>
      <w:marBottom w:val="0"/>
      <w:divBdr>
        <w:top w:val="none" w:sz="0" w:space="0" w:color="auto"/>
        <w:left w:val="none" w:sz="0" w:space="0" w:color="auto"/>
        <w:bottom w:val="none" w:sz="0" w:space="0" w:color="auto"/>
        <w:right w:val="none" w:sz="0" w:space="0" w:color="auto"/>
      </w:divBdr>
    </w:div>
    <w:div w:id="2083872815">
      <w:bodyDiv w:val="1"/>
      <w:marLeft w:val="0"/>
      <w:marRight w:val="0"/>
      <w:marTop w:val="0"/>
      <w:marBottom w:val="0"/>
      <w:divBdr>
        <w:top w:val="none" w:sz="0" w:space="0" w:color="auto"/>
        <w:left w:val="none" w:sz="0" w:space="0" w:color="auto"/>
        <w:bottom w:val="none" w:sz="0" w:space="0" w:color="auto"/>
        <w:right w:val="none" w:sz="0" w:space="0" w:color="auto"/>
      </w:divBdr>
    </w:div>
    <w:div w:id="211605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4419/rnqsta59" TargetMode="External"/><Relationship Id="rId18" Type="http://schemas.openxmlformats.org/officeDocument/2006/relationships/hyperlink" Target="https://doi.org/10.60079/aaar.v2i2.262" TargetMode="External"/><Relationship Id="rId26" Type="http://schemas.openxmlformats.org/officeDocument/2006/relationships/hyperlink" Target="https://doi.org/10.55817/ynph2883" TargetMode="External"/><Relationship Id="rId3" Type="http://schemas.openxmlformats.org/officeDocument/2006/relationships/styles" Target="styles.xml"/><Relationship Id="rId21" Type="http://schemas.openxmlformats.org/officeDocument/2006/relationships/hyperlink" Target="https://doi.org/10.55041/ijsrem3500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791/ijems.2024.004" TargetMode="External"/><Relationship Id="rId17" Type="http://schemas.openxmlformats.org/officeDocument/2006/relationships/hyperlink" Target="https://doi.org/10.33619/2414-2948/115/57" TargetMode="External"/><Relationship Id="rId25" Type="http://schemas.openxmlformats.org/officeDocument/2006/relationships/hyperlink" Target="https://doi.org/10.37012/ileka.v6i2.304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90/5933-1505035968" TargetMode="External"/><Relationship Id="rId20" Type="http://schemas.openxmlformats.org/officeDocument/2006/relationships/hyperlink" Target="https://doi.org/10.1080/23311975.2024.241144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18/imc/2024/03.02" TargetMode="External"/><Relationship Id="rId24" Type="http://schemas.openxmlformats.org/officeDocument/2006/relationships/hyperlink" Target="https://doi.org/10.3390/su15201512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6565/2524-2547-2022-63-08" TargetMode="External"/><Relationship Id="rId23" Type="http://schemas.openxmlformats.org/officeDocument/2006/relationships/hyperlink" Target="https://doi.org/10.63618/omd/isj/v1/n3/18" TargetMode="External"/><Relationship Id="rId28" Type="http://schemas.openxmlformats.org/officeDocument/2006/relationships/hyperlink" Target="https://doi.org/10.55927/metropolis.v1i4.307" TargetMode="External"/><Relationship Id="rId36" Type="http://schemas.openxmlformats.org/officeDocument/2006/relationships/theme" Target="theme/theme1.xml"/><Relationship Id="rId10" Type="http://schemas.openxmlformats.org/officeDocument/2006/relationships/hyperlink" Target="https://doi.org/10.1016/j.heliyon.2023.e23912" TargetMode="External"/><Relationship Id="rId19" Type="http://schemas.openxmlformats.org/officeDocument/2006/relationships/hyperlink" Target="https://doi.org/10.38193/ijrcms.2025.722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intaccaudtax.2021.100430" TargetMode="External"/><Relationship Id="rId14" Type="http://schemas.openxmlformats.org/officeDocument/2006/relationships/hyperlink" Target="https://doi.org/10.1108/jaee-07-2024-0298" TargetMode="External"/><Relationship Id="rId22" Type="http://schemas.openxmlformats.org/officeDocument/2006/relationships/hyperlink" Target="https://doi.org/10.4236/ojacct.2022.104014" TargetMode="External"/><Relationship Id="rId27" Type="http://schemas.openxmlformats.org/officeDocument/2006/relationships/hyperlink" Target="https://doi.org/10.22373/share.v14i1.2876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62872/ewjrgt95" TargetMode="External"/><Relationship Id="rId2" Type="http://schemas.openxmlformats.org/officeDocument/2006/relationships/hyperlink" Target="https://nawalaeducation.com/index.php/NJ/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2dgybNlwlTtX47PrjEPyrXbaDQ==">CgMxLjAyCGguZ2pkZ3hzOAByITF6b1FucnI3ZzgzUTE4OEU2VEtuLUlSOTZhaXNiRDhvaw==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6544</Words>
  <Characters>37305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reviewer nawala</cp:lastModifiedBy>
  <cp:revision>2</cp:revision>
  <dcterms:created xsi:type="dcterms:W3CDTF">2026-03-11T08:16:00Z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2f64c8ae-adc0-30dd-a03e-007909e803c9</vt:lpwstr>
  </property>
</Properties>
</file>