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375C2" w14:textId="6514C416" w:rsidR="00844FC4" w:rsidRPr="003A7BCD" w:rsidRDefault="007D0290" w:rsidP="00A431BD">
      <w:pPr>
        <w:rPr>
          <w:rFonts w:ascii="Cambria" w:eastAsia="Cambria" w:hAnsi="Cambria" w:cs="Cambria"/>
          <w:b/>
          <w:sz w:val="28"/>
          <w:szCs w:val="28"/>
          <w:lang w:val="en-US"/>
        </w:rPr>
      </w:pPr>
      <w:r w:rsidRPr="007D0290">
        <w:rPr>
          <w:rFonts w:ascii="Cambria" w:eastAsia="Cambria" w:hAnsi="Cambria" w:cs="Cambria"/>
          <w:b/>
          <w:sz w:val="28"/>
          <w:szCs w:val="28"/>
        </w:rPr>
        <w:t>International Accounting Standards Convergence and Its Impact on the Quality of Financial Reporting</w:t>
      </w:r>
    </w:p>
    <w:p w14:paraId="0D798DC3" w14:textId="77777777" w:rsidR="00E37FE4" w:rsidRDefault="00E37FE4">
      <w:pPr>
        <w:rPr>
          <w:rFonts w:ascii="Cambria" w:eastAsia="Cambria" w:hAnsi="Cambria" w:cs="Cambria"/>
          <w:b/>
          <w:sz w:val="28"/>
          <w:szCs w:val="28"/>
        </w:rPr>
      </w:pPr>
    </w:p>
    <w:p w14:paraId="0EE51F60" w14:textId="77777777" w:rsidR="00A431BD" w:rsidRDefault="00A431BD">
      <w:pPr>
        <w:jc w:val="center"/>
        <w:rPr>
          <w:rFonts w:ascii="Cambria" w:eastAsia="Cambria" w:hAnsi="Cambria" w:cs="Cambria"/>
          <w:b/>
          <w:sz w:val="20"/>
          <w:szCs w:val="20"/>
        </w:rPr>
      </w:pPr>
    </w:p>
    <w:p w14:paraId="43268FB8" w14:textId="311BB46A" w:rsidR="004069F7" w:rsidRDefault="00E008BF">
      <w:pPr>
        <w:jc w:val="center"/>
        <w:rPr>
          <w:rFonts w:ascii="Cambria" w:eastAsia="Cambria" w:hAnsi="Cambria" w:cs="Cambria"/>
          <w:b/>
          <w:sz w:val="20"/>
          <w:szCs w:val="20"/>
        </w:rPr>
      </w:pPr>
      <w:r>
        <w:rPr>
          <w:rFonts w:ascii="Cambria" w:eastAsia="Cambria" w:hAnsi="Cambria" w:cs="Cambria"/>
          <w:b/>
          <w:sz w:val="20"/>
          <w:szCs w:val="20"/>
        </w:rPr>
        <w:t>ABSTRACT</w:t>
      </w:r>
    </w:p>
    <w:p w14:paraId="39645D70" w14:textId="77777777" w:rsidR="004069F7" w:rsidRDefault="004069F7">
      <w:pPr>
        <w:jc w:val="center"/>
        <w:rPr>
          <w:rFonts w:ascii="Cambria" w:eastAsia="Cambria" w:hAnsi="Cambria" w:cs="Cambria"/>
          <w:b/>
          <w:sz w:val="20"/>
          <w:szCs w:val="20"/>
        </w:rPr>
      </w:pPr>
    </w:p>
    <w:p w14:paraId="5A615220" w14:textId="77777777" w:rsidR="00AE6438" w:rsidRDefault="002B1FEE" w:rsidP="002B1FEE">
      <w:pPr>
        <w:jc w:val="both"/>
        <w:rPr>
          <w:rFonts w:ascii="Cambria" w:eastAsia="Cambria" w:hAnsi="Cambria" w:cs="Cambria"/>
          <w:i/>
          <w:sz w:val="20"/>
          <w:szCs w:val="20"/>
        </w:rPr>
      </w:pPr>
      <w:r w:rsidRPr="002B1FEE">
        <w:rPr>
          <w:rFonts w:ascii="Cambria" w:eastAsia="Cambria" w:hAnsi="Cambria" w:cs="Cambria"/>
          <w:i/>
          <w:sz w:val="20"/>
          <w:szCs w:val="20"/>
        </w:rPr>
        <w:t>The globalization of capital markets has increased the need for harmonized financial reporting standards that allow financial information to be comparable across countries. The convergence of national accounting standards with International Financial Reporting Standards (IFRS) has emerged as a global response to these challenges, aiming to improve the transparency, comparability, and credibility of financial statements. However, empirical findings indicate that the impact of IFRS convergence on financial reporting quality is not always consistent across different institutional contexts. This study aims to analyze how the convergence of international accounting standards influences the quality of financial reporting in the context of global financial reporting practices. The research employs a qualitative approach using a systematic literature review of accredited academic journal articles related to IFRS adoption and financial reporting quality. Data were collected from relevant scholarly publications and analyzed using qualitative content analysis and conceptual synthesis techniques. The findings indicate that IFRS convergence generally improves financial reporting quality by enhancing disclosure transparency, reducing earnings management, and increasing the value relevance of accounting information. Nevertheless, the effectiveness of IFRS implementation is strongly influenced by institutional factors such as regulatory enforcement, governance quality, and professional capacity. The study concludes that although IFRS convergence contributes to improving financial reporting quality, its impact varies across countries, highlighting the importance of institutional readiness and continued evaluation of accounting harmonization policies.</w:t>
      </w:r>
    </w:p>
    <w:p w14:paraId="6298778E" w14:textId="60394A09" w:rsidR="004069F7" w:rsidRDefault="006C0AD6" w:rsidP="002B1FEE">
      <w:pPr>
        <w:jc w:val="both"/>
        <w:rPr>
          <w:rFonts w:ascii="Cambria" w:eastAsia="Cambria" w:hAnsi="Cambria" w:cs="Cambria"/>
          <w:i/>
          <w:sz w:val="20"/>
          <w:szCs w:val="20"/>
        </w:rPr>
      </w:pPr>
      <w:r>
        <w:rPr>
          <w:rFonts w:ascii="Cambria" w:eastAsia="Cambria" w:hAnsi="Cambria" w:cs="Cambria"/>
          <w:b/>
          <w:i/>
          <w:sz w:val="20"/>
          <w:szCs w:val="20"/>
        </w:rPr>
        <w:t>Keywords:</w:t>
      </w:r>
      <w:r w:rsidR="005A700C">
        <w:rPr>
          <w:rFonts w:ascii="Cambria" w:eastAsia="Cambria" w:hAnsi="Cambria" w:cs="Cambria"/>
          <w:b/>
          <w:i/>
          <w:sz w:val="20"/>
          <w:szCs w:val="20"/>
          <w:lang w:val="en-US"/>
        </w:rPr>
        <w:t xml:space="preserve"> </w:t>
      </w:r>
    </w:p>
    <w:p w14:paraId="0E2F6BF0" w14:textId="77777777" w:rsidR="002B1FEE" w:rsidRDefault="002B1FEE" w:rsidP="002B1FEE">
      <w:pPr>
        <w:jc w:val="both"/>
        <w:rPr>
          <w:rFonts w:ascii="Cambria" w:eastAsia="Cambria" w:hAnsi="Cambria" w:cs="Cambria"/>
          <w:b/>
          <w:color w:val="ED7D31"/>
        </w:rPr>
      </w:pPr>
    </w:p>
    <w:p w14:paraId="4C4C9880" w14:textId="77777777" w:rsidR="004069F7" w:rsidRDefault="00E008BF">
      <w:pPr>
        <w:rPr>
          <w:rFonts w:ascii="Cambria" w:eastAsia="Cambria" w:hAnsi="Cambria" w:cs="Cambria"/>
          <w:b/>
        </w:rPr>
      </w:pPr>
      <w:r>
        <w:rPr>
          <w:rFonts w:ascii="Cambria" w:eastAsia="Cambria" w:hAnsi="Cambria" w:cs="Cambria"/>
          <w:b/>
        </w:rPr>
        <w:t xml:space="preserve">INTRODUCTION </w:t>
      </w:r>
      <w:r>
        <w:rPr>
          <w:rFonts w:ascii="Cambria" w:eastAsia="Cambria" w:hAnsi="Cambria" w:cs="Cambria"/>
          <w:b/>
        </w:rPr>
        <w:tab/>
      </w:r>
    </w:p>
    <w:p w14:paraId="318336D3" w14:textId="77777777" w:rsidR="00D11066" w:rsidRPr="00D11066" w:rsidRDefault="00D11066" w:rsidP="00D11066">
      <w:pPr>
        <w:pBdr>
          <w:top w:val="nil"/>
          <w:left w:val="nil"/>
          <w:bottom w:val="nil"/>
          <w:right w:val="nil"/>
          <w:between w:val="nil"/>
        </w:pBdr>
        <w:ind w:firstLine="709"/>
        <w:jc w:val="both"/>
        <w:rPr>
          <w:rFonts w:ascii="Cambria" w:eastAsia="Cambria" w:hAnsi="Cambria" w:cs="Cambria"/>
          <w:lang w:val="en-US"/>
        </w:rPr>
      </w:pPr>
      <w:r w:rsidRPr="00D11066">
        <w:rPr>
          <w:rFonts w:ascii="Cambria" w:eastAsia="Cambria" w:hAnsi="Cambria" w:cs="Cambria"/>
          <w:lang w:val="en-US"/>
        </w:rPr>
        <w:t>The rapid expansion of global capital markets and the increasing integration of international investment flows have significantly transformed the landscape of financial reporting. In an era characterized by cross-border economic activities, multinational corporations, and global investors, the need for a standardized financial reporting framework has become increasingly important. Differences in national accounting standards historically created substantial barriers to the comparability and transparency of financial information across countries. Investors, regulators, and financial analysts often faced difficulties in interpreting financial statements prepared under different national accounting systems. Consequently, the development and adoption of International Financial Reporting Standards (IFRS) have emerged as a global response to these challenges. IFRS aims to provide a common financial reporting language that enhances the comparability, reliability, and transparency of financial information across jurisdictions. As global financial markets become more interconnected, the convergence of national accounting standards with IFRS has become a strategic initiative adopted by many countries to improve the quality of financial reporting and facilitate cross-border investment activities (</w:t>
      </w:r>
      <w:proofErr w:type="spellStart"/>
      <w:r w:rsidRPr="00D11066">
        <w:rPr>
          <w:rFonts w:ascii="Cambria" w:eastAsia="Cambria" w:hAnsi="Cambria" w:cs="Cambria"/>
          <w:lang w:val="en-US"/>
        </w:rPr>
        <w:t>Syahrani</w:t>
      </w:r>
      <w:proofErr w:type="spellEnd"/>
      <w:r w:rsidRPr="00D11066">
        <w:rPr>
          <w:rFonts w:ascii="Cambria" w:eastAsia="Cambria" w:hAnsi="Cambria" w:cs="Cambria"/>
          <w:lang w:val="en-US"/>
        </w:rPr>
        <w:t xml:space="preserve"> et al., 2025; </w:t>
      </w:r>
      <w:proofErr w:type="spellStart"/>
      <w:r w:rsidRPr="00D11066">
        <w:rPr>
          <w:rFonts w:ascii="Cambria" w:eastAsia="Cambria" w:hAnsi="Cambria" w:cs="Cambria"/>
          <w:lang w:val="en-US"/>
        </w:rPr>
        <w:t>Holovina</w:t>
      </w:r>
      <w:proofErr w:type="spellEnd"/>
      <w:r w:rsidRPr="00D11066">
        <w:rPr>
          <w:rFonts w:ascii="Cambria" w:eastAsia="Cambria" w:hAnsi="Cambria" w:cs="Cambria"/>
          <w:lang w:val="en-US"/>
        </w:rPr>
        <w:t xml:space="preserve"> et al., 2022; Ilakkiya, 2024).</w:t>
      </w:r>
    </w:p>
    <w:p w14:paraId="11DB0BB4" w14:textId="77777777" w:rsidR="00D11066" w:rsidRPr="00D11066" w:rsidRDefault="00D11066" w:rsidP="00D11066">
      <w:pPr>
        <w:pBdr>
          <w:top w:val="nil"/>
          <w:left w:val="nil"/>
          <w:bottom w:val="nil"/>
          <w:right w:val="nil"/>
          <w:between w:val="nil"/>
        </w:pBdr>
        <w:ind w:firstLine="709"/>
        <w:jc w:val="both"/>
        <w:rPr>
          <w:rFonts w:ascii="Cambria" w:eastAsia="Cambria" w:hAnsi="Cambria" w:cs="Cambria"/>
          <w:lang w:val="en-US"/>
        </w:rPr>
      </w:pPr>
      <w:r w:rsidRPr="00D11066">
        <w:rPr>
          <w:rFonts w:ascii="Cambria" w:eastAsia="Cambria" w:hAnsi="Cambria" w:cs="Cambria"/>
          <w:lang w:val="en-US"/>
        </w:rPr>
        <w:t xml:space="preserve">The global diffusion of IFRS reflects a broader movement toward accounting harmonization in response to economic globalization. Over the past two decades, IFRS has evolved into the dominant international accounting framework, adopted or converged with by the majority of countries around the world. Only a relatively small number of jurisdictions continue to rely solely on domestic accounting standards without </w:t>
      </w:r>
      <w:r w:rsidRPr="00D11066">
        <w:rPr>
          <w:rFonts w:ascii="Cambria" w:eastAsia="Cambria" w:hAnsi="Cambria" w:cs="Cambria"/>
          <w:lang w:val="en-US"/>
        </w:rPr>
        <w:lastRenderedPageBreak/>
        <w:t>incorporating IFRS principles (</w:t>
      </w:r>
      <w:proofErr w:type="spellStart"/>
      <w:r w:rsidRPr="00D11066">
        <w:rPr>
          <w:rFonts w:ascii="Cambria" w:eastAsia="Cambria" w:hAnsi="Cambria" w:cs="Cambria"/>
          <w:lang w:val="en-US"/>
        </w:rPr>
        <w:t>Holovina</w:t>
      </w:r>
      <w:proofErr w:type="spellEnd"/>
      <w:r w:rsidRPr="00D11066">
        <w:rPr>
          <w:rFonts w:ascii="Cambria" w:eastAsia="Cambria" w:hAnsi="Cambria" w:cs="Cambria"/>
          <w:lang w:val="en-US"/>
        </w:rPr>
        <w:t xml:space="preserve"> et al., 2022; </w:t>
      </w:r>
      <w:proofErr w:type="spellStart"/>
      <w:r w:rsidRPr="00D11066">
        <w:rPr>
          <w:rFonts w:ascii="Cambria" w:eastAsia="Cambria" w:hAnsi="Cambria" w:cs="Cambria"/>
          <w:lang w:val="en-US"/>
        </w:rPr>
        <w:t>Imamova</w:t>
      </w:r>
      <w:proofErr w:type="spellEnd"/>
      <w:r w:rsidRPr="00D11066">
        <w:rPr>
          <w:rFonts w:ascii="Cambria" w:eastAsia="Cambria" w:hAnsi="Cambria" w:cs="Cambria"/>
          <w:lang w:val="en-US"/>
        </w:rPr>
        <w:t>, 2025). The harmonization of accounting standards is expected to generate several important benefits for global financial markets. First, the adoption of a common set of accounting standards improves the comparability of financial statements across countries, allowing investors to make more informed decisions when allocating capital internationally. Second, standardized financial reporting enhances transparency and accountability by reducing the possibility of financial manipulation and improving the clarity of corporate disclosures. Third, accounting harmonization simplifies financial reporting for multinational corporations operating in multiple jurisdictions by reducing the need to prepare financial statements under multiple accounting regimes (</w:t>
      </w:r>
      <w:proofErr w:type="spellStart"/>
      <w:r w:rsidRPr="00D11066">
        <w:rPr>
          <w:rFonts w:ascii="Cambria" w:eastAsia="Cambria" w:hAnsi="Cambria" w:cs="Cambria"/>
          <w:lang w:val="en-US"/>
        </w:rPr>
        <w:t>Lawalata</w:t>
      </w:r>
      <w:proofErr w:type="spellEnd"/>
      <w:r w:rsidRPr="00D11066">
        <w:rPr>
          <w:rFonts w:ascii="Cambria" w:eastAsia="Cambria" w:hAnsi="Cambria" w:cs="Cambria"/>
          <w:lang w:val="en-US"/>
        </w:rPr>
        <w:t xml:space="preserve"> &amp; Salle, 2024; </w:t>
      </w:r>
      <w:proofErr w:type="spellStart"/>
      <w:r w:rsidRPr="00D11066">
        <w:rPr>
          <w:rFonts w:ascii="Cambria" w:eastAsia="Cambria" w:hAnsi="Cambria" w:cs="Cambria"/>
          <w:lang w:val="en-US"/>
        </w:rPr>
        <w:t>Šuvakov</w:t>
      </w:r>
      <w:proofErr w:type="spellEnd"/>
      <w:r w:rsidRPr="00D11066">
        <w:rPr>
          <w:rFonts w:ascii="Cambria" w:eastAsia="Cambria" w:hAnsi="Cambria" w:cs="Cambria"/>
          <w:lang w:val="en-US"/>
        </w:rPr>
        <w:t xml:space="preserve"> &amp; Sekicki, 2025; Ilakkiya, 2024; </w:t>
      </w:r>
      <w:proofErr w:type="spellStart"/>
      <w:r w:rsidRPr="00D11066">
        <w:rPr>
          <w:rFonts w:ascii="Cambria" w:eastAsia="Cambria" w:hAnsi="Cambria" w:cs="Cambria"/>
          <w:lang w:val="en-US"/>
        </w:rPr>
        <w:t>Hehanussa</w:t>
      </w:r>
      <w:proofErr w:type="spellEnd"/>
      <w:r w:rsidRPr="00D11066">
        <w:rPr>
          <w:rFonts w:ascii="Cambria" w:eastAsia="Cambria" w:hAnsi="Cambria" w:cs="Cambria"/>
          <w:lang w:val="en-US"/>
        </w:rPr>
        <w:t>, 2025).</w:t>
      </w:r>
    </w:p>
    <w:p w14:paraId="1B5CC412" w14:textId="77777777" w:rsidR="00D11066" w:rsidRPr="00D11066" w:rsidRDefault="00D11066" w:rsidP="00D11066">
      <w:pPr>
        <w:pBdr>
          <w:top w:val="nil"/>
          <w:left w:val="nil"/>
          <w:bottom w:val="nil"/>
          <w:right w:val="nil"/>
          <w:between w:val="nil"/>
        </w:pBdr>
        <w:ind w:firstLine="709"/>
        <w:jc w:val="both"/>
        <w:rPr>
          <w:rFonts w:ascii="Cambria" w:eastAsia="Cambria" w:hAnsi="Cambria" w:cs="Cambria"/>
          <w:lang w:val="en-US"/>
        </w:rPr>
      </w:pPr>
      <w:r w:rsidRPr="00D11066">
        <w:rPr>
          <w:rFonts w:ascii="Cambria" w:eastAsia="Cambria" w:hAnsi="Cambria" w:cs="Cambria"/>
          <w:lang w:val="en-US"/>
        </w:rPr>
        <w:t>In addition to improving transparency and comparability, the convergence of national accounting standards with IFRS is also expected to facilitate the efficient functioning of global capital markets. By providing a consistent reporting framework, IFRS helps reduce information asymmetry between corporate managers and external stakeholders. Investors are better able to evaluate the financial performance and risk profiles of companies when financial statements are prepared using consistent accounting principles. Furthermore, the adoption of IFRS has been associated with increased cross-border investment activities, mergers and acquisitions, and the integration of international capital markets. Standardized financial reporting reduces the costs associated with reconciling different accounting systems and improves the efficiency of capital allocation at the global level (Ilakkiya, 2024; Mohan &amp; Tambe, 2025). These developments highlight the importance of accounting harmonization as a mechanism for enhancing the credibility and functionality of modern financial markets.</w:t>
      </w:r>
    </w:p>
    <w:p w14:paraId="50DAAB8C" w14:textId="77777777" w:rsidR="00D11066" w:rsidRPr="00D11066" w:rsidRDefault="00D11066" w:rsidP="00D11066">
      <w:pPr>
        <w:pBdr>
          <w:top w:val="nil"/>
          <w:left w:val="nil"/>
          <w:bottom w:val="nil"/>
          <w:right w:val="nil"/>
          <w:between w:val="nil"/>
        </w:pBdr>
        <w:ind w:firstLine="709"/>
        <w:jc w:val="both"/>
        <w:rPr>
          <w:rFonts w:ascii="Cambria" w:eastAsia="Cambria" w:hAnsi="Cambria" w:cs="Cambria"/>
          <w:lang w:val="en-US"/>
        </w:rPr>
      </w:pPr>
      <w:r w:rsidRPr="00D11066">
        <w:rPr>
          <w:rFonts w:ascii="Cambria" w:eastAsia="Cambria" w:hAnsi="Cambria" w:cs="Cambria"/>
          <w:lang w:val="en-US"/>
        </w:rPr>
        <w:t>Despite these potential benefits, the implementation of IFRS convergence has not been without challenges. The process of adopting international accounting standards often requires substantial adjustments to national regulatory frameworks, corporate governance structures, and professional accounting practices. Many countries face institutional and structural constraints that complicate the implementation of IFRS, particularly in developing economies. Differences in legal systems, regulatory enforcement mechanisms, cultural norms, and levels of professional expertise can significantly influence how international accounting standards are interpreted and applied. Furthermore, the transition to IFRS may impose considerable financial and operational costs on organizations, particularly small and medium-sized enterprises that lack the resources required to implement complex accounting standards (</w:t>
      </w:r>
      <w:proofErr w:type="spellStart"/>
      <w:r w:rsidRPr="00D11066">
        <w:rPr>
          <w:rFonts w:ascii="Cambria" w:eastAsia="Cambria" w:hAnsi="Cambria" w:cs="Cambria"/>
          <w:lang w:val="en-US"/>
        </w:rPr>
        <w:t>Syahrani</w:t>
      </w:r>
      <w:proofErr w:type="spellEnd"/>
      <w:r w:rsidRPr="00D11066">
        <w:rPr>
          <w:rFonts w:ascii="Cambria" w:eastAsia="Cambria" w:hAnsi="Cambria" w:cs="Cambria"/>
          <w:lang w:val="en-US"/>
        </w:rPr>
        <w:t xml:space="preserve"> et al., 2025; Gök, 2024; </w:t>
      </w:r>
      <w:proofErr w:type="spellStart"/>
      <w:r w:rsidRPr="00D11066">
        <w:rPr>
          <w:rFonts w:ascii="Cambria" w:eastAsia="Cambria" w:hAnsi="Cambria" w:cs="Cambria"/>
          <w:lang w:val="en-US"/>
        </w:rPr>
        <w:t>Šuvakov</w:t>
      </w:r>
      <w:proofErr w:type="spellEnd"/>
      <w:r w:rsidRPr="00D11066">
        <w:rPr>
          <w:rFonts w:ascii="Cambria" w:eastAsia="Cambria" w:hAnsi="Cambria" w:cs="Cambria"/>
          <w:lang w:val="en-US"/>
        </w:rPr>
        <w:t xml:space="preserve"> &amp; Sekicki, 2025; Sánchez-Caguana, 2023). These challenges suggest that the success of IFRS convergence depends not only on the technical adoption of international standards but also on the institutional capacity of each country to implement them effectively.</w:t>
      </w:r>
    </w:p>
    <w:p w14:paraId="6FF3FEDC" w14:textId="77777777" w:rsidR="00D11066" w:rsidRPr="00D11066" w:rsidRDefault="00D11066" w:rsidP="00D11066">
      <w:pPr>
        <w:pBdr>
          <w:top w:val="nil"/>
          <w:left w:val="nil"/>
          <w:bottom w:val="nil"/>
          <w:right w:val="nil"/>
          <w:between w:val="nil"/>
        </w:pBdr>
        <w:ind w:firstLine="709"/>
        <w:jc w:val="both"/>
        <w:rPr>
          <w:rFonts w:ascii="Cambria" w:eastAsia="Cambria" w:hAnsi="Cambria" w:cs="Cambria"/>
          <w:lang w:val="en-US"/>
        </w:rPr>
      </w:pPr>
      <w:r w:rsidRPr="00D11066">
        <w:rPr>
          <w:rFonts w:ascii="Cambria" w:eastAsia="Cambria" w:hAnsi="Cambria" w:cs="Cambria"/>
          <w:lang w:val="en-US"/>
        </w:rPr>
        <w:t xml:space="preserve">A central argument supporting IFRS convergence is that it improves the quality of financial reporting. High-quality financial reporting is essential for ensuring transparency, reducing information asymmetry, and supporting efficient capital market operations. Several empirical studies indicate that the adoption of IFRS can enhance financial reporting quality through multiple mechanisms. IFRS is generally considered a principles-based accounting system that emphasizes fair value measurement, comprehensive disclosure requirements, and a stronger alignment between accounting information and economic reality. These characteristics are expected to reduce opportunistic financial reporting practices, such as earnings management, while increasing the relevance and reliability of financial information. Empirical evidence from various countries suggests that companies adopting IFRS tend to exhibit lower levels of </w:t>
      </w:r>
      <w:r w:rsidRPr="00D11066">
        <w:rPr>
          <w:rFonts w:ascii="Cambria" w:eastAsia="Cambria" w:hAnsi="Cambria" w:cs="Cambria"/>
          <w:lang w:val="en-US"/>
        </w:rPr>
        <w:lastRenderedPageBreak/>
        <w:t>earnings management, more timely recognition of economic losses, and higher value relevance of accounting information (</w:t>
      </w:r>
      <w:proofErr w:type="spellStart"/>
      <w:r w:rsidRPr="00D11066">
        <w:rPr>
          <w:rFonts w:ascii="Cambria" w:eastAsia="Cambria" w:hAnsi="Cambria" w:cs="Cambria"/>
          <w:lang w:val="en-US"/>
        </w:rPr>
        <w:t>Lawalata</w:t>
      </w:r>
      <w:proofErr w:type="spellEnd"/>
      <w:r w:rsidRPr="00D11066">
        <w:rPr>
          <w:rFonts w:ascii="Cambria" w:eastAsia="Cambria" w:hAnsi="Cambria" w:cs="Cambria"/>
          <w:lang w:val="en-US"/>
        </w:rPr>
        <w:t xml:space="preserve"> &amp; Salle, 2024; Himanshu &amp; Baker, 2025; Adhikari et al., 2021; Siregar et al., 2025; Mohan &amp; Tambe, 2025; N. et al., 2024; </w:t>
      </w:r>
      <w:proofErr w:type="spellStart"/>
      <w:r w:rsidRPr="00D11066">
        <w:rPr>
          <w:rFonts w:ascii="Cambria" w:eastAsia="Cambria" w:hAnsi="Cambria" w:cs="Cambria"/>
          <w:lang w:val="en-US"/>
        </w:rPr>
        <w:t>Rouvolis</w:t>
      </w:r>
      <w:proofErr w:type="spellEnd"/>
      <w:r w:rsidRPr="00D11066">
        <w:rPr>
          <w:rFonts w:ascii="Cambria" w:eastAsia="Cambria" w:hAnsi="Cambria" w:cs="Cambria"/>
          <w:lang w:val="en-US"/>
        </w:rPr>
        <w:t xml:space="preserve">, 2022; </w:t>
      </w:r>
      <w:proofErr w:type="spellStart"/>
      <w:r w:rsidRPr="00D11066">
        <w:rPr>
          <w:rFonts w:ascii="Cambria" w:eastAsia="Cambria" w:hAnsi="Cambria" w:cs="Cambria"/>
          <w:lang w:val="en-US"/>
        </w:rPr>
        <w:t>Cărea</w:t>
      </w:r>
      <w:proofErr w:type="spellEnd"/>
      <w:r w:rsidRPr="00D11066">
        <w:rPr>
          <w:rFonts w:ascii="Cambria" w:eastAsia="Cambria" w:hAnsi="Cambria" w:cs="Cambria"/>
          <w:lang w:val="en-US"/>
        </w:rPr>
        <w:t xml:space="preserve"> &amp; </w:t>
      </w:r>
      <w:proofErr w:type="spellStart"/>
      <w:r w:rsidRPr="00D11066">
        <w:rPr>
          <w:rFonts w:ascii="Cambria" w:eastAsia="Cambria" w:hAnsi="Cambria" w:cs="Cambria"/>
          <w:lang w:val="en-US"/>
        </w:rPr>
        <w:t>Mișu</w:t>
      </w:r>
      <w:proofErr w:type="spellEnd"/>
      <w:r w:rsidRPr="00D11066">
        <w:rPr>
          <w:rFonts w:ascii="Cambria" w:eastAsia="Cambria" w:hAnsi="Cambria" w:cs="Cambria"/>
          <w:lang w:val="en-US"/>
        </w:rPr>
        <w:t>, 2025).</w:t>
      </w:r>
    </w:p>
    <w:p w14:paraId="7E85386D" w14:textId="77777777" w:rsidR="00D11066" w:rsidRPr="00D11066" w:rsidRDefault="00D11066" w:rsidP="00D11066">
      <w:pPr>
        <w:pBdr>
          <w:top w:val="nil"/>
          <w:left w:val="nil"/>
          <w:bottom w:val="nil"/>
          <w:right w:val="nil"/>
          <w:between w:val="nil"/>
        </w:pBdr>
        <w:ind w:firstLine="709"/>
        <w:jc w:val="both"/>
        <w:rPr>
          <w:rFonts w:ascii="Cambria" w:eastAsia="Cambria" w:hAnsi="Cambria" w:cs="Cambria"/>
          <w:lang w:val="en-US"/>
        </w:rPr>
      </w:pPr>
      <w:r w:rsidRPr="00D11066">
        <w:rPr>
          <w:rFonts w:ascii="Cambria" w:eastAsia="Cambria" w:hAnsi="Cambria" w:cs="Cambria"/>
          <w:lang w:val="en-US"/>
        </w:rPr>
        <w:t>Moreover, the positive impact of IFRS convergence on financial reporting quality appears to be particularly strong in countries with well-developed institutional frameworks. Effective legal enforcement systems, strong corporate governance structures, and high-quality auditing practices enhance the ability of IFRS to improve financial transparency. In such environments, the adoption of international accounting standards is more likely to produce meaningful improvements in financial reporting quality because firms face stronger incentives to comply with disclosure requirements and regulatory oversight. Studies have shown that the benefits of IFRS adoption are significantly greater in jurisdictions with strong investor protection and effective regulatory enforcement mechanisms (</w:t>
      </w:r>
      <w:proofErr w:type="spellStart"/>
      <w:r w:rsidRPr="00D11066">
        <w:rPr>
          <w:rFonts w:ascii="Cambria" w:eastAsia="Cambria" w:hAnsi="Cambria" w:cs="Cambria"/>
          <w:lang w:val="en-US"/>
        </w:rPr>
        <w:t>Lawalata</w:t>
      </w:r>
      <w:proofErr w:type="spellEnd"/>
      <w:r w:rsidRPr="00D11066">
        <w:rPr>
          <w:rFonts w:ascii="Cambria" w:eastAsia="Cambria" w:hAnsi="Cambria" w:cs="Cambria"/>
          <w:lang w:val="en-US"/>
        </w:rPr>
        <w:t xml:space="preserve"> &amp; Salle, 2024; Himanshu &amp; Baker, 2025; N. et al., 2024). This finding suggests that accounting standards alone cannot guarantee high-quality financial reporting; instead, their effectiveness depends on the broader institutional context in which they are implemented.</w:t>
      </w:r>
    </w:p>
    <w:p w14:paraId="57D2AD33" w14:textId="77777777" w:rsidR="00D11066" w:rsidRPr="00D11066" w:rsidRDefault="00D11066" w:rsidP="00D11066">
      <w:pPr>
        <w:pBdr>
          <w:top w:val="nil"/>
          <w:left w:val="nil"/>
          <w:bottom w:val="nil"/>
          <w:right w:val="nil"/>
          <w:between w:val="nil"/>
        </w:pBdr>
        <w:ind w:firstLine="709"/>
        <w:jc w:val="both"/>
        <w:rPr>
          <w:rFonts w:ascii="Cambria" w:eastAsia="Cambria" w:hAnsi="Cambria" w:cs="Cambria"/>
          <w:lang w:val="en-US"/>
        </w:rPr>
      </w:pPr>
      <w:r w:rsidRPr="00D11066">
        <w:rPr>
          <w:rFonts w:ascii="Cambria" w:eastAsia="Cambria" w:hAnsi="Cambria" w:cs="Cambria"/>
          <w:lang w:val="en-US"/>
        </w:rPr>
        <w:t>However, the empirical evidence regarding the impact of IFRS convergence is not entirely consistent. While many studies report positive outcomes associated with IFRS adoption, other research highlights potential limitations and transitional challenges. For example, research examining the implementation of Indian Accounting Standards (Ind AS), which are converged with IFRS, indicates that financial reporting quality initially declined following the transition to the new standards. The study found increased discretionary accruals and less timely recognition of losses during the early adoption period. Over time, however, financial reporting quality gradually improved as firms and accounting professionals gained experience with the new reporting framework, reflecting a learning curve associated with the adoption process (Adhikari et al., 2021). These findings suggest that the benefits of IFRS convergence may not be immediately realized and may depend on the maturity of the accounting environment and the level of professional expertise within organizations.</w:t>
      </w:r>
    </w:p>
    <w:p w14:paraId="484B6441" w14:textId="77777777" w:rsidR="00D11066" w:rsidRPr="00D11066" w:rsidRDefault="00D11066" w:rsidP="00D11066">
      <w:pPr>
        <w:pBdr>
          <w:top w:val="nil"/>
          <w:left w:val="nil"/>
          <w:bottom w:val="nil"/>
          <w:right w:val="nil"/>
          <w:between w:val="nil"/>
        </w:pBdr>
        <w:ind w:firstLine="709"/>
        <w:jc w:val="both"/>
        <w:rPr>
          <w:rFonts w:ascii="Cambria" w:eastAsia="Cambria" w:hAnsi="Cambria" w:cs="Cambria"/>
          <w:lang w:val="en-US"/>
        </w:rPr>
      </w:pPr>
      <w:r w:rsidRPr="00D11066">
        <w:rPr>
          <w:rFonts w:ascii="Cambria" w:eastAsia="Cambria" w:hAnsi="Cambria" w:cs="Cambria"/>
          <w:lang w:val="en-US"/>
        </w:rPr>
        <w:t>Similarly, research conducted in Portugal reveals that while IFRS adoption enhanced the legitimacy of financial reporting practices in the eyes of international stakeholders, the economic benefits of the reform were perceived as relatively limited. The study attributes this outcome to the coexistence of IFRS with a legal and institutional framework traditionally rooted in a code-law system. In such contexts, formal adoption of international standards may not always translate into substantive changes in financial reporting practices, leading to a phenomenon known as institutional decoupling (Silva et al., 2023). These findings highlight the complex interaction between global accounting standards and national institutional environments, suggesting that accounting harmonization may produce different outcomes depending on the regulatory and cultural context of each country.</w:t>
      </w:r>
    </w:p>
    <w:p w14:paraId="0F51EC94" w14:textId="77777777" w:rsidR="00D11066" w:rsidRPr="00D11066" w:rsidRDefault="00D11066" w:rsidP="00D11066">
      <w:pPr>
        <w:pBdr>
          <w:top w:val="nil"/>
          <w:left w:val="nil"/>
          <w:bottom w:val="nil"/>
          <w:right w:val="nil"/>
          <w:between w:val="nil"/>
        </w:pBdr>
        <w:ind w:firstLine="709"/>
        <w:jc w:val="both"/>
        <w:rPr>
          <w:rFonts w:ascii="Cambria" w:eastAsia="Cambria" w:hAnsi="Cambria" w:cs="Cambria"/>
          <w:lang w:val="en-US"/>
        </w:rPr>
      </w:pPr>
      <w:r w:rsidRPr="00D11066">
        <w:rPr>
          <w:rFonts w:ascii="Cambria" w:eastAsia="Cambria" w:hAnsi="Cambria" w:cs="Cambria"/>
          <w:lang w:val="en-US"/>
        </w:rPr>
        <w:t xml:space="preserve">The mixed empirical evidence regarding the impact of IFRS convergence underscores the importance of further research in this area. Although a large body of literature has examined the technical aspects of financial reporting quality following IFRS adoption, several important research gaps remain. Bibliometric analyses of IFRS-related studies indicate that existing research is heavily concentrated on technical reporting issues such as earnings management, value relevance, and disclosure quality. In contrast, relatively limited attention has been given to the behavioral responses of key stakeholders involved in the financial reporting process, including preparers, investors, auditors, and regulators (Bathla et al., 2023). Understanding how these stakeholders </w:t>
      </w:r>
      <w:r w:rsidRPr="00D11066">
        <w:rPr>
          <w:rFonts w:ascii="Cambria" w:eastAsia="Cambria" w:hAnsi="Cambria" w:cs="Cambria"/>
          <w:lang w:val="en-US"/>
        </w:rPr>
        <w:lastRenderedPageBreak/>
        <w:t>interpret and respond to changes in accounting standards is essential for evaluating the broader implications of IFRS convergence.</w:t>
      </w:r>
    </w:p>
    <w:p w14:paraId="54EDB0DF" w14:textId="77777777" w:rsidR="00D11066" w:rsidRPr="00D11066" w:rsidRDefault="00D11066" w:rsidP="00D11066">
      <w:pPr>
        <w:pBdr>
          <w:top w:val="nil"/>
          <w:left w:val="nil"/>
          <w:bottom w:val="nil"/>
          <w:right w:val="nil"/>
          <w:between w:val="nil"/>
        </w:pBdr>
        <w:ind w:firstLine="709"/>
        <w:jc w:val="both"/>
        <w:rPr>
          <w:rFonts w:ascii="Cambria" w:eastAsia="Cambria" w:hAnsi="Cambria" w:cs="Cambria"/>
          <w:lang w:val="en-US"/>
        </w:rPr>
      </w:pPr>
      <w:r w:rsidRPr="00D11066">
        <w:rPr>
          <w:rFonts w:ascii="Cambria" w:eastAsia="Cambria" w:hAnsi="Cambria" w:cs="Cambria"/>
          <w:lang w:val="en-US"/>
        </w:rPr>
        <w:t>In addition, systematic reviews of research on IFRS-converged accounting systems such as Ind AS reveal several underexplored areas in the literature. For instance, relatively little research has examined the relationship between IFRS adoption and ethical dimensions of financial reporting, including issues related to reporting integrity, transparency, and accountability. Similarly, the increasing complexity of financial statements under IFRS has raised concerns regarding the readability and understandability of financial disclosures, yet these issues remain insufficiently studied. Another important research gap concerns the compliance costs associated with IFRS implementation, particularly for smaller firms that may face significant financial and technical constraints when adopting complex accounting standards (N. et al., 2024).</w:t>
      </w:r>
    </w:p>
    <w:p w14:paraId="3DA74350" w14:textId="77777777" w:rsidR="00D11066" w:rsidRPr="00D11066" w:rsidRDefault="00D11066" w:rsidP="00D11066">
      <w:pPr>
        <w:pBdr>
          <w:top w:val="nil"/>
          <w:left w:val="nil"/>
          <w:bottom w:val="nil"/>
          <w:right w:val="nil"/>
          <w:between w:val="nil"/>
        </w:pBdr>
        <w:ind w:firstLine="709"/>
        <w:jc w:val="both"/>
        <w:rPr>
          <w:rFonts w:ascii="Cambria" w:eastAsia="Cambria" w:hAnsi="Cambria" w:cs="Cambria"/>
          <w:lang w:val="en-US"/>
        </w:rPr>
      </w:pPr>
      <w:r w:rsidRPr="00D11066">
        <w:rPr>
          <w:rFonts w:ascii="Cambria" w:eastAsia="Cambria" w:hAnsi="Cambria" w:cs="Cambria"/>
          <w:lang w:val="en-US"/>
        </w:rPr>
        <w:t>Furthermore, many existing studies focus primarily on short-term outcomes of IFRS adoption, leaving the long-term economic implications of accounting convergence relatively unexplored. There is still limited empirical evidence regarding how IFRS convergence influences broader corporate outcomes such as firm performance, cost of capital, and sustainability reporting practices across different institutional contexts. Scholars emphasize the need for more comprehensive research that examines the long-term economic consequences of accounting harmonization, particularly in emerging markets where institutional structures may differ significantly from those in developed economies (Himanshu &amp; Baker, 2025; N. et al., 2024; Rizvi, 2024).</w:t>
      </w:r>
    </w:p>
    <w:p w14:paraId="54CE27E8" w14:textId="77777777" w:rsidR="00D11066" w:rsidRPr="00D11066" w:rsidRDefault="00D11066" w:rsidP="00D11066">
      <w:pPr>
        <w:pBdr>
          <w:top w:val="nil"/>
          <w:left w:val="nil"/>
          <w:bottom w:val="nil"/>
          <w:right w:val="nil"/>
          <w:between w:val="nil"/>
        </w:pBdr>
        <w:ind w:firstLine="709"/>
        <w:jc w:val="both"/>
        <w:rPr>
          <w:rFonts w:ascii="Cambria" w:eastAsia="Cambria" w:hAnsi="Cambria" w:cs="Cambria"/>
          <w:lang w:val="en-US"/>
        </w:rPr>
      </w:pPr>
      <w:r w:rsidRPr="00D11066">
        <w:rPr>
          <w:rFonts w:ascii="Cambria" w:eastAsia="Cambria" w:hAnsi="Cambria" w:cs="Cambria"/>
          <w:lang w:val="en-US"/>
        </w:rPr>
        <w:t>Another important area that remains relatively understudied concerns the implementation of IFRS in small and medium-sized enterprises and specialized sectors such as Islamic banking and financial institutions. These organizations often operate under different regulatory frameworks and face distinct operational challenges compared to large publicly listed companies. The adoption of IFRS for SMEs, as well as the adaptation of international accounting standards to Islamic financial systems, presents unique challenges that require further scholarly attention (</w:t>
      </w:r>
      <w:proofErr w:type="spellStart"/>
      <w:r w:rsidRPr="00D11066">
        <w:rPr>
          <w:rFonts w:ascii="Cambria" w:eastAsia="Cambria" w:hAnsi="Cambria" w:cs="Cambria"/>
          <w:lang w:val="en-US"/>
        </w:rPr>
        <w:t>Syahrani</w:t>
      </w:r>
      <w:proofErr w:type="spellEnd"/>
      <w:r w:rsidRPr="00D11066">
        <w:rPr>
          <w:rFonts w:ascii="Cambria" w:eastAsia="Cambria" w:hAnsi="Cambria" w:cs="Cambria"/>
          <w:lang w:val="en-US"/>
        </w:rPr>
        <w:t xml:space="preserve"> et al., 2025; Gök, 2024; </w:t>
      </w:r>
      <w:proofErr w:type="spellStart"/>
      <w:r w:rsidRPr="00D11066">
        <w:rPr>
          <w:rFonts w:ascii="Cambria" w:eastAsia="Cambria" w:hAnsi="Cambria" w:cs="Cambria"/>
          <w:lang w:val="en-US"/>
        </w:rPr>
        <w:t>Šuvakov</w:t>
      </w:r>
      <w:proofErr w:type="spellEnd"/>
      <w:r w:rsidRPr="00D11066">
        <w:rPr>
          <w:rFonts w:ascii="Cambria" w:eastAsia="Cambria" w:hAnsi="Cambria" w:cs="Cambria"/>
          <w:lang w:val="en-US"/>
        </w:rPr>
        <w:t xml:space="preserve"> &amp; Sekicki, 2025; Sujana &amp; </w:t>
      </w:r>
      <w:proofErr w:type="spellStart"/>
      <w:r w:rsidRPr="00D11066">
        <w:rPr>
          <w:rFonts w:ascii="Cambria" w:eastAsia="Cambria" w:hAnsi="Cambria" w:cs="Cambria"/>
          <w:lang w:val="en-US"/>
        </w:rPr>
        <w:t>Mukhlisin</w:t>
      </w:r>
      <w:proofErr w:type="spellEnd"/>
      <w:r w:rsidRPr="00D11066">
        <w:rPr>
          <w:rFonts w:ascii="Cambria" w:eastAsia="Cambria" w:hAnsi="Cambria" w:cs="Cambria"/>
          <w:lang w:val="en-US"/>
        </w:rPr>
        <w:t>, 2025). Understanding these sector-specific dynamics is crucial for developing a more comprehensive understanding of the global impact of accounting convergence.</w:t>
      </w:r>
    </w:p>
    <w:p w14:paraId="03DDD2F1" w14:textId="77777777" w:rsidR="00D11066" w:rsidRPr="00D11066" w:rsidRDefault="00D11066" w:rsidP="00D11066">
      <w:pPr>
        <w:pBdr>
          <w:top w:val="nil"/>
          <w:left w:val="nil"/>
          <w:bottom w:val="nil"/>
          <w:right w:val="nil"/>
          <w:between w:val="nil"/>
        </w:pBdr>
        <w:ind w:firstLine="709"/>
        <w:jc w:val="both"/>
        <w:rPr>
          <w:rFonts w:ascii="Cambria" w:eastAsia="Cambria" w:hAnsi="Cambria" w:cs="Cambria"/>
          <w:lang w:val="en-US"/>
        </w:rPr>
      </w:pPr>
      <w:r w:rsidRPr="00D11066">
        <w:rPr>
          <w:rFonts w:ascii="Cambria" w:eastAsia="Cambria" w:hAnsi="Cambria" w:cs="Cambria"/>
          <w:lang w:val="en-US"/>
        </w:rPr>
        <w:t>Based on these considerations, the novelty of this study lies in its integrative examination of the convergence of international accounting standards and its implications for financial reporting quality by synthesizing diverse empirical findings and institutional perspectives. Rather than focusing solely on technical accounting outcomes, this study emphasizes the interaction between accounting standards, institutional environments, and stakeholder dynamics in shaping financial reporting practices. By adopting this broader analytical perspective, the study aims to contribute to the ongoing discourse on the effectiveness of global accounting harmonization.</w:t>
      </w:r>
    </w:p>
    <w:p w14:paraId="6FF20AFD" w14:textId="77777777" w:rsidR="00D11066" w:rsidRPr="00DD518F" w:rsidRDefault="00D11066" w:rsidP="00D11066">
      <w:pPr>
        <w:pBdr>
          <w:top w:val="nil"/>
          <w:left w:val="nil"/>
          <w:bottom w:val="nil"/>
          <w:right w:val="nil"/>
          <w:between w:val="nil"/>
        </w:pBdr>
        <w:ind w:firstLine="709"/>
        <w:jc w:val="both"/>
        <w:rPr>
          <w:rFonts w:ascii="Cambria" w:eastAsia="Cambria" w:hAnsi="Cambria" w:cs="Cambria"/>
          <w:lang w:val="en-US"/>
        </w:rPr>
      </w:pPr>
      <w:r w:rsidRPr="00D11066">
        <w:rPr>
          <w:rFonts w:ascii="Cambria" w:eastAsia="Cambria" w:hAnsi="Cambria" w:cs="Cambria"/>
          <w:lang w:val="en-US"/>
        </w:rPr>
        <w:t>Therefore, the objective of this research is to analyze how the convergence of international accounting standards influences the quality of financial reporting while considering the institutional, regulatory, and contextual factors that shape its effectiveness across different economic environments. Through this analysis, the study seeks to provide a deeper understanding of the opportunities and challenges associated with IFRS convergence in the context of global financial reporting practices.</w:t>
      </w:r>
    </w:p>
    <w:p w14:paraId="339C88E4" w14:textId="77777777" w:rsidR="0008468B" w:rsidRPr="00034438" w:rsidRDefault="0008468B">
      <w:pPr>
        <w:pBdr>
          <w:top w:val="nil"/>
          <w:left w:val="nil"/>
          <w:bottom w:val="nil"/>
          <w:right w:val="nil"/>
          <w:between w:val="nil"/>
        </w:pBdr>
        <w:jc w:val="both"/>
        <w:rPr>
          <w:rFonts w:ascii="Cambria" w:eastAsia="Cambria" w:hAnsi="Cambria" w:cs="Cambria"/>
          <w:b/>
          <w:lang w:val="en-US"/>
        </w:rPr>
      </w:pPr>
    </w:p>
    <w:p w14:paraId="173C6BC5" w14:textId="77777777" w:rsidR="004069F7" w:rsidRDefault="00E008BF">
      <w:pPr>
        <w:rPr>
          <w:rFonts w:ascii="Cambria" w:eastAsia="Cambria" w:hAnsi="Cambria" w:cs="Cambria"/>
          <w:b/>
        </w:rPr>
      </w:pPr>
      <w:r>
        <w:rPr>
          <w:rFonts w:ascii="Cambria" w:eastAsia="Cambria" w:hAnsi="Cambria" w:cs="Cambria"/>
          <w:b/>
        </w:rPr>
        <w:t xml:space="preserve">METHODS </w:t>
      </w:r>
      <w:r>
        <w:rPr>
          <w:rFonts w:ascii="Cambria" w:eastAsia="Cambria" w:hAnsi="Cambria" w:cs="Cambria"/>
          <w:b/>
        </w:rPr>
        <w:tab/>
      </w:r>
    </w:p>
    <w:p w14:paraId="03FF2F59" w14:textId="77777777" w:rsidR="00D11066" w:rsidRPr="00D11066" w:rsidRDefault="00D11066" w:rsidP="00D11066">
      <w:pPr>
        <w:pBdr>
          <w:top w:val="nil"/>
          <w:left w:val="nil"/>
          <w:bottom w:val="nil"/>
          <w:right w:val="nil"/>
          <w:between w:val="nil"/>
        </w:pBdr>
        <w:ind w:firstLine="567"/>
        <w:jc w:val="both"/>
        <w:rPr>
          <w:rFonts w:ascii="Cambria" w:eastAsia="Cambria" w:hAnsi="Cambria" w:cs="Cambria"/>
          <w:lang w:val="en-US"/>
        </w:rPr>
      </w:pPr>
      <w:r w:rsidRPr="00D11066">
        <w:rPr>
          <w:rFonts w:ascii="Cambria" w:eastAsia="Cambria" w:hAnsi="Cambria" w:cs="Cambria"/>
          <w:lang w:val="en-US"/>
        </w:rPr>
        <w:t xml:space="preserve">This study employs a qualitative research approach using a conceptual and systematic literature review design to analyze the convergence of International Financial Reporting Standards (IFRS) and its impact on the quality of financial reporting. The </w:t>
      </w:r>
      <w:r w:rsidRPr="00D11066">
        <w:rPr>
          <w:rFonts w:ascii="Cambria" w:eastAsia="Cambria" w:hAnsi="Cambria" w:cs="Cambria"/>
          <w:lang w:val="en-US"/>
        </w:rPr>
        <w:lastRenderedPageBreak/>
        <w:t>qualitative approach is appropriate because the study aims to synthesize theoretical perspectives and empirical findings from previous research in order to develop a comprehensive understanding of how IFRS convergence influences financial reporting practices across different institutional contexts. The data used in this research consist of secondary data obtained from accredited academic journals, international publications, and scholarly studies related to IFRS adoption, accounting harmonization, and financial reporting quality. The data collection technique was carried out through a systematic literature review process by identifying and selecting relevant articles from reputable academic databases such as Google Scholar, Scopus-indexed journals, and other peer-reviewed publications. The selection of literature was based on several criteria, including relevance to the research topic, methodological credibility, and the contribution of the studies to the discussion of IFRS convergence and financial reporting quality. Particular attention was given to studies examining the effects of IFRS adoption in different institutional and regulatory environments to ensure a comprehensive representation of global research findings.</w:t>
      </w:r>
    </w:p>
    <w:p w14:paraId="6FC82772" w14:textId="77777777" w:rsidR="00D11066" w:rsidRPr="00D11066" w:rsidRDefault="00D11066" w:rsidP="00D11066">
      <w:pPr>
        <w:pBdr>
          <w:top w:val="nil"/>
          <w:left w:val="nil"/>
          <w:bottom w:val="nil"/>
          <w:right w:val="nil"/>
          <w:between w:val="nil"/>
        </w:pBdr>
        <w:ind w:firstLine="567"/>
        <w:jc w:val="both"/>
        <w:rPr>
          <w:rFonts w:ascii="Cambria" w:eastAsia="Cambria" w:hAnsi="Cambria" w:cs="Cambria"/>
          <w:lang w:val="en-US"/>
        </w:rPr>
      </w:pPr>
      <w:r w:rsidRPr="00D11066">
        <w:rPr>
          <w:rFonts w:ascii="Cambria" w:eastAsia="Cambria" w:hAnsi="Cambria" w:cs="Cambria"/>
          <w:lang w:val="en-US"/>
        </w:rPr>
        <w:t>The data analysis in this study was conducted using qualitative content analysis and conceptual synthesis methods. First, the collected literature was systematically classified into several analytical themes, including the global harmonization of accounting standards, the impact of IFRS convergence on financial reporting quality, and the institutional factors influencing the effectiveness of IFRS implementation. Each selected study was carefully examined to identify its key arguments, research findings, and theoretical contributions related to financial reporting transparency, earnings management, value relevance, and disclosure quality. Subsequently, a comparative analysis was conducted to evaluate similarities and differences among empirical findings from various countries and institutional contexts. This process allowed the study to identify patterns, inconsistencies, and emerging trends in the literature regarding the effects of IFRS convergence. Finally, a conceptual synthesis was performed to integrate these findings into a coherent analytical framework that explains how international accounting standards convergence interacts with institutional environments to influence the quality of financial reporting. Through this analytical approach, the study aims to provide a comprehensive understanding of the opportunities and challenges associated with IFRS convergence in improving global financial reporting practices.</w:t>
      </w:r>
    </w:p>
    <w:p w14:paraId="6C9E3081" w14:textId="77777777" w:rsidR="00262310" w:rsidRPr="00262310" w:rsidRDefault="00262310" w:rsidP="00DD518F">
      <w:pPr>
        <w:pBdr>
          <w:top w:val="nil"/>
          <w:left w:val="nil"/>
          <w:bottom w:val="nil"/>
          <w:right w:val="nil"/>
          <w:between w:val="nil"/>
        </w:pBdr>
        <w:ind w:firstLine="567"/>
        <w:jc w:val="both"/>
        <w:rPr>
          <w:rFonts w:ascii="Cambria" w:eastAsia="Cambria" w:hAnsi="Cambria" w:cs="Cambria"/>
          <w:lang w:val="en-US"/>
        </w:rPr>
      </w:pPr>
    </w:p>
    <w:p w14:paraId="0BB7BAE1" w14:textId="77777777" w:rsidR="00034438" w:rsidRPr="00205DD0" w:rsidRDefault="00D11066" w:rsidP="00262310">
      <w:pPr>
        <w:pBdr>
          <w:top w:val="nil"/>
          <w:left w:val="nil"/>
          <w:bottom w:val="nil"/>
          <w:right w:val="nil"/>
          <w:between w:val="nil"/>
        </w:pBdr>
        <w:ind w:firstLine="567"/>
        <w:jc w:val="center"/>
        <w:rPr>
          <w:rFonts w:ascii="Cambria" w:eastAsia="Cambria" w:hAnsi="Cambria" w:cs="Cambria"/>
          <w:lang w:val="en-US"/>
        </w:rPr>
      </w:pPr>
      <w:r w:rsidRPr="00D11066">
        <w:rPr>
          <w:rFonts w:ascii="Cambria" w:eastAsia="Cambria" w:hAnsi="Cambria" w:cs="Cambria"/>
          <w:noProof/>
          <w:lang w:val="en-US"/>
        </w:rPr>
        <w:drawing>
          <wp:inline distT="0" distB="0" distL="0" distR="0" wp14:anchorId="2C0B1CD7" wp14:editId="7785A7EA">
            <wp:extent cx="5312386" cy="3061854"/>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23324" cy="3068158"/>
                    </a:xfrm>
                    <a:prstGeom prst="rect">
                      <a:avLst/>
                    </a:prstGeom>
                  </pic:spPr>
                </pic:pic>
              </a:graphicData>
            </a:graphic>
          </wp:inline>
        </w:drawing>
      </w:r>
    </w:p>
    <w:p w14:paraId="22890083" w14:textId="77777777" w:rsidR="00034438" w:rsidRDefault="00034438" w:rsidP="00034438">
      <w:pPr>
        <w:pBdr>
          <w:top w:val="nil"/>
          <w:left w:val="nil"/>
          <w:bottom w:val="nil"/>
          <w:right w:val="nil"/>
          <w:between w:val="nil"/>
        </w:pBdr>
        <w:ind w:firstLine="567"/>
        <w:jc w:val="center"/>
        <w:rPr>
          <w:rFonts w:ascii="Cambria" w:eastAsia="Cambria" w:hAnsi="Cambria" w:cs="Cambria"/>
          <w:bCs/>
          <w:lang w:val="en-US"/>
        </w:rPr>
      </w:pPr>
      <w:r>
        <w:rPr>
          <w:rFonts w:ascii="Cambria" w:eastAsia="Cambria" w:hAnsi="Cambria" w:cs="Cambria"/>
          <w:bCs/>
          <w:lang w:val="en-US"/>
        </w:rPr>
        <w:lastRenderedPageBreak/>
        <w:t>Figure 1. Diagram Conceptual Research</w:t>
      </w:r>
    </w:p>
    <w:p w14:paraId="7CE572F5" w14:textId="77777777" w:rsidR="00B114EB" w:rsidRPr="00034438" w:rsidRDefault="00B114EB" w:rsidP="00B114EB">
      <w:pPr>
        <w:pBdr>
          <w:top w:val="nil"/>
          <w:left w:val="nil"/>
          <w:bottom w:val="nil"/>
          <w:right w:val="nil"/>
          <w:between w:val="nil"/>
        </w:pBdr>
        <w:rPr>
          <w:rFonts w:ascii="Cambria" w:eastAsia="Cambria" w:hAnsi="Cambria" w:cs="Cambria"/>
          <w:bCs/>
          <w:lang w:val="en-US"/>
        </w:rPr>
      </w:pPr>
    </w:p>
    <w:p w14:paraId="09782B40" w14:textId="77777777" w:rsidR="00A46B6F" w:rsidRPr="00034438" w:rsidRDefault="00E008BF" w:rsidP="00034438">
      <w:pPr>
        <w:pBdr>
          <w:top w:val="nil"/>
          <w:left w:val="nil"/>
          <w:bottom w:val="nil"/>
          <w:right w:val="nil"/>
          <w:between w:val="nil"/>
        </w:pBdr>
        <w:ind w:firstLine="567"/>
        <w:jc w:val="both"/>
        <w:rPr>
          <w:rFonts w:ascii="Cambria" w:eastAsia="Cambria" w:hAnsi="Cambria" w:cs="Cambria"/>
          <w:b/>
          <w:lang w:val="en-US"/>
        </w:rPr>
      </w:pPr>
      <w:r>
        <w:rPr>
          <w:rFonts w:ascii="Cambria" w:eastAsia="Cambria" w:hAnsi="Cambria" w:cs="Cambria"/>
          <w:b/>
        </w:rPr>
        <w:tab/>
      </w:r>
    </w:p>
    <w:p w14:paraId="621FEEAB" w14:textId="77777777" w:rsidR="004069F7" w:rsidRDefault="00E008BF" w:rsidP="00A46B6F">
      <w:pPr>
        <w:pBdr>
          <w:top w:val="nil"/>
          <w:left w:val="nil"/>
          <w:bottom w:val="nil"/>
          <w:right w:val="nil"/>
          <w:between w:val="nil"/>
        </w:pBdr>
        <w:jc w:val="both"/>
        <w:rPr>
          <w:rFonts w:ascii="Cambria" w:eastAsia="Cambria" w:hAnsi="Cambria" w:cs="Cambria"/>
          <w:b/>
        </w:rPr>
      </w:pPr>
      <w:r>
        <w:rPr>
          <w:rFonts w:ascii="Cambria" w:eastAsia="Cambria" w:hAnsi="Cambria" w:cs="Cambria"/>
          <w:b/>
        </w:rPr>
        <w:t xml:space="preserve">RESULTS AND DISCUSSION </w:t>
      </w:r>
    </w:p>
    <w:p w14:paraId="7E140DB4" w14:textId="77777777" w:rsidR="005B1E31" w:rsidRDefault="00D11066" w:rsidP="00D11066">
      <w:pPr>
        <w:pBdr>
          <w:top w:val="nil"/>
          <w:left w:val="nil"/>
          <w:bottom w:val="nil"/>
          <w:right w:val="nil"/>
          <w:between w:val="nil"/>
        </w:pBdr>
        <w:ind w:firstLine="720"/>
        <w:jc w:val="both"/>
        <w:rPr>
          <w:rFonts w:ascii="Cambria" w:eastAsia="Cambria" w:hAnsi="Cambria" w:cs="Cambria"/>
        </w:rPr>
      </w:pPr>
      <w:r w:rsidRPr="00D11066">
        <w:rPr>
          <w:rFonts w:ascii="Cambria" w:eastAsia="Cambria" w:hAnsi="Cambria" w:cs="Cambria"/>
        </w:rPr>
        <w:t>To examine how the convergence of International Financial Reporting Standards (IFRS) influences the quality of financial reporting, this study synthesizes empirical findings from previous research identified through the literature review process. The analysis focuses on identifying the main dimensions through which IFRS convergence affects financial reporting practices across different institutional environments. The results of this synthesis are summarized in Table 1, which presents the key dimensions of IFRS convergence, the mechanisms through which these dimensions influence financial reporting quality, and the empirical evidence reported in previous studies.</w:t>
      </w:r>
    </w:p>
    <w:p w14:paraId="625EAEB2" w14:textId="77777777" w:rsidR="00D11066" w:rsidRPr="002B1FEE" w:rsidRDefault="00D11066" w:rsidP="00D11066">
      <w:pPr>
        <w:pBdr>
          <w:top w:val="nil"/>
          <w:left w:val="nil"/>
          <w:bottom w:val="nil"/>
          <w:right w:val="nil"/>
          <w:between w:val="nil"/>
        </w:pBdr>
        <w:ind w:firstLine="720"/>
        <w:jc w:val="both"/>
        <w:rPr>
          <w:rFonts w:ascii="Cambria" w:eastAsia="Cambria" w:hAnsi="Cambria" w:cs="Cambria"/>
          <w:lang w:val="en-US"/>
        </w:rPr>
      </w:pPr>
    </w:p>
    <w:p w14:paraId="6560C9B0" w14:textId="77777777" w:rsidR="00D11066" w:rsidRDefault="00D11066" w:rsidP="00D11066">
      <w:pPr>
        <w:pBdr>
          <w:top w:val="nil"/>
          <w:left w:val="nil"/>
          <w:bottom w:val="nil"/>
          <w:right w:val="nil"/>
          <w:between w:val="nil"/>
        </w:pBdr>
        <w:jc w:val="center"/>
        <w:rPr>
          <w:rFonts w:ascii="Cambria" w:eastAsia="Cambria" w:hAnsi="Cambria" w:cs="Cambria"/>
        </w:rPr>
      </w:pPr>
      <w:r w:rsidRPr="00D11066">
        <w:rPr>
          <w:rFonts w:ascii="Cambria" w:eastAsia="Cambria" w:hAnsi="Cambria" w:cs="Cambria"/>
        </w:rPr>
        <w:t>Table 1. Key Dimensions of IFRS Convergence and Their Impact on Financial Reporting Quality</w:t>
      </w:r>
    </w:p>
    <w:tbl>
      <w:tblPr>
        <w:tblStyle w:val="PlainTable2"/>
        <w:tblW w:w="9209" w:type="dxa"/>
        <w:jc w:val="center"/>
        <w:tblLook w:val="04A0" w:firstRow="1" w:lastRow="0" w:firstColumn="1" w:lastColumn="0" w:noHBand="0" w:noVBand="1"/>
      </w:tblPr>
      <w:tblGrid>
        <w:gridCol w:w="2005"/>
        <w:gridCol w:w="1684"/>
        <w:gridCol w:w="2202"/>
        <w:gridCol w:w="3318"/>
      </w:tblGrid>
      <w:tr w:rsidR="00D11066" w:rsidRPr="00D11066" w14:paraId="695533F6" w14:textId="77777777" w:rsidTr="002B1FE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5" w:type="dxa"/>
          </w:tcPr>
          <w:p w14:paraId="4D265BC6" w14:textId="77777777" w:rsidR="00D11066" w:rsidRPr="00D11066" w:rsidRDefault="00D11066" w:rsidP="00D11066">
            <w:pPr>
              <w:jc w:val="center"/>
              <w:rPr>
                <w:rFonts w:ascii="Cambria" w:hAnsi="Cambria"/>
                <w:lang w:eastAsia="en-US"/>
              </w:rPr>
            </w:pPr>
            <w:r w:rsidRPr="00D11066">
              <w:rPr>
                <w:rFonts w:ascii="Cambria" w:hAnsi="Cambria"/>
              </w:rPr>
              <w:t>Dimension</w:t>
            </w:r>
          </w:p>
        </w:tc>
        <w:tc>
          <w:tcPr>
            <w:tcW w:w="1684" w:type="dxa"/>
          </w:tcPr>
          <w:p w14:paraId="539B97EA" w14:textId="77777777" w:rsidR="00D11066" w:rsidRPr="00D11066" w:rsidRDefault="00D11066" w:rsidP="00D11066">
            <w:pPr>
              <w:jc w:val="center"/>
              <w:cnfStyle w:val="100000000000" w:firstRow="1" w:lastRow="0" w:firstColumn="0" w:lastColumn="0" w:oddVBand="0" w:evenVBand="0" w:oddHBand="0" w:evenHBand="0" w:firstRowFirstColumn="0" w:firstRowLastColumn="0" w:lastRowFirstColumn="0" w:lastRowLastColumn="0"/>
              <w:rPr>
                <w:rFonts w:ascii="Cambria" w:hAnsi="Cambria"/>
              </w:rPr>
            </w:pPr>
            <w:r w:rsidRPr="00D11066">
              <w:rPr>
                <w:rFonts w:ascii="Cambria" w:hAnsi="Cambria"/>
              </w:rPr>
              <w:t>Key Components</w:t>
            </w:r>
          </w:p>
        </w:tc>
        <w:tc>
          <w:tcPr>
            <w:tcW w:w="2202" w:type="dxa"/>
          </w:tcPr>
          <w:p w14:paraId="131FD5CF" w14:textId="77777777" w:rsidR="00D11066" w:rsidRPr="00D11066" w:rsidRDefault="00D11066" w:rsidP="00D11066">
            <w:pPr>
              <w:jc w:val="center"/>
              <w:cnfStyle w:val="100000000000" w:firstRow="1" w:lastRow="0" w:firstColumn="0" w:lastColumn="0" w:oddVBand="0" w:evenVBand="0" w:oddHBand="0" w:evenHBand="0" w:firstRowFirstColumn="0" w:firstRowLastColumn="0" w:lastRowFirstColumn="0" w:lastRowLastColumn="0"/>
              <w:rPr>
                <w:rFonts w:ascii="Cambria" w:hAnsi="Cambria"/>
              </w:rPr>
            </w:pPr>
            <w:r w:rsidRPr="00D11066">
              <w:rPr>
                <w:rFonts w:ascii="Cambria" w:hAnsi="Cambria"/>
              </w:rPr>
              <w:t>Impact on Financial Reporting Quality</w:t>
            </w:r>
          </w:p>
        </w:tc>
        <w:tc>
          <w:tcPr>
            <w:tcW w:w="3318" w:type="dxa"/>
          </w:tcPr>
          <w:p w14:paraId="475A2BF5" w14:textId="77777777" w:rsidR="00D11066" w:rsidRPr="00D11066" w:rsidRDefault="00D11066" w:rsidP="00D11066">
            <w:pPr>
              <w:jc w:val="center"/>
              <w:cnfStyle w:val="100000000000" w:firstRow="1" w:lastRow="0" w:firstColumn="0" w:lastColumn="0" w:oddVBand="0" w:evenVBand="0" w:oddHBand="0" w:evenHBand="0" w:firstRowFirstColumn="0" w:firstRowLastColumn="0" w:lastRowFirstColumn="0" w:lastRowLastColumn="0"/>
              <w:rPr>
                <w:rFonts w:ascii="Cambria" w:hAnsi="Cambria"/>
              </w:rPr>
            </w:pPr>
            <w:r w:rsidRPr="00D11066">
              <w:rPr>
                <w:rFonts w:ascii="Cambria" w:hAnsi="Cambria"/>
              </w:rPr>
              <w:t>Empirical Evidence</w:t>
            </w:r>
          </w:p>
        </w:tc>
      </w:tr>
      <w:tr w:rsidR="00D11066" w:rsidRPr="00D11066" w14:paraId="5B243FD4" w14:textId="77777777" w:rsidTr="002B1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5" w:type="dxa"/>
          </w:tcPr>
          <w:p w14:paraId="04B75C08" w14:textId="77777777" w:rsidR="00D11066" w:rsidRPr="00D11066" w:rsidRDefault="00D11066" w:rsidP="00D11066">
            <w:pPr>
              <w:rPr>
                <w:rFonts w:ascii="Cambria" w:hAnsi="Cambria"/>
                <w:b w:val="0"/>
                <w:bCs w:val="0"/>
              </w:rPr>
            </w:pPr>
            <w:r w:rsidRPr="00D11066">
              <w:rPr>
                <w:rFonts w:ascii="Cambria" w:hAnsi="Cambria"/>
              </w:rPr>
              <w:t>Accounting Harmonization</w:t>
            </w:r>
          </w:p>
        </w:tc>
        <w:tc>
          <w:tcPr>
            <w:tcW w:w="1684" w:type="dxa"/>
          </w:tcPr>
          <w:p w14:paraId="09525575" w14:textId="77777777" w:rsidR="00D11066" w:rsidRPr="00D11066" w:rsidRDefault="00D11066" w:rsidP="00D11066">
            <w:pPr>
              <w:cnfStyle w:val="000000100000" w:firstRow="0" w:lastRow="0" w:firstColumn="0" w:lastColumn="0" w:oddVBand="0" w:evenVBand="0" w:oddHBand="1" w:evenHBand="0" w:firstRowFirstColumn="0" w:firstRowLastColumn="0" w:lastRowFirstColumn="0" w:lastRowLastColumn="0"/>
              <w:rPr>
                <w:rFonts w:ascii="Cambria" w:hAnsi="Cambria"/>
              </w:rPr>
            </w:pPr>
            <w:r w:rsidRPr="00D11066">
              <w:rPr>
                <w:rFonts w:ascii="Cambria" w:hAnsi="Cambria"/>
              </w:rPr>
              <w:t>Adoption or convergence of national accounting standards with IFRS</w:t>
            </w:r>
          </w:p>
        </w:tc>
        <w:tc>
          <w:tcPr>
            <w:tcW w:w="2202" w:type="dxa"/>
          </w:tcPr>
          <w:p w14:paraId="36A525F9" w14:textId="77777777" w:rsidR="00D11066" w:rsidRPr="00D11066" w:rsidRDefault="00D11066" w:rsidP="00D11066">
            <w:pPr>
              <w:cnfStyle w:val="000000100000" w:firstRow="0" w:lastRow="0" w:firstColumn="0" w:lastColumn="0" w:oddVBand="0" w:evenVBand="0" w:oddHBand="1" w:evenHBand="0" w:firstRowFirstColumn="0" w:firstRowLastColumn="0" w:lastRowFirstColumn="0" w:lastRowLastColumn="0"/>
              <w:rPr>
                <w:rFonts w:ascii="Cambria" w:hAnsi="Cambria"/>
              </w:rPr>
            </w:pPr>
            <w:r w:rsidRPr="00D11066">
              <w:rPr>
                <w:rFonts w:ascii="Cambria" w:hAnsi="Cambria"/>
              </w:rPr>
              <w:t>Improves comparability, transparency, and accountability of financial statements across jurisdictions</w:t>
            </w:r>
          </w:p>
        </w:tc>
        <w:tc>
          <w:tcPr>
            <w:tcW w:w="3318" w:type="dxa"/>
          </w:tcPr>
          <w:p w14:paraId="78AE8B55" w14:textId="77777777" w:rsidR="00D11066" w:rsidRPr="00D11066" w:rsidRDefault="00D11066" w:rsidP="00D11066">
            <w:pPr>
              <w:cnfStyle w:val="000000100000" w:firstRow="0" w:lastRow="0" w:firstColumn="0" w:lastColumn="0" w:oddVBand="0" w:evenVBand="0" w:oddHBand="1" w:evenHBand="0" w:firstRowFirstColumn="0" w:firstRowLastColumn="0" w:lastRowFirstColumn="0" w:lastRowLastColumn="0"/>
              <w:rPr>
                <w:rFonts w:ascii="Cambria" w:hAnsi="Cambria"/>
              </w:rPr>
            </w:pPr>
            <w:r w:rsidRPr="00D11066">
              <w:rPr>
                <w:rFonts w:ascii="Cambria" w:hAnsi="Cambria"/>
              </w:rPr>
              <w:t>IFRS harmonization increases cross-country comparability and enhances disclosure transparency (Lawalata &amp; Salle, 2024; Ilakkiya, 2024; Šuvakov &amp; Sekicki, 2025; Hehanussa, 2025)</w:t>
            </w:r>
          </w:p>
        </w:tc>
      </w:tr>
      <w:tr w:rsidR="00D11066" w:rsidRPr="00D11066" w14:paraId="2FE9C903" w14:textId="77777777" w:rsidTr="002B1FEE">
        <w:trPr>
          <w:jc w:val="center"/>
        </w:trPr>
        <w:tc>
          <w:tcPr>
            <w:cnfStyle w:val="001000000000" w:firstRow="0" w:lastRow="0" w:firstColumn="1" w:lastColumn="0" w:oddVBand="0" w:evenVBand="0" w:oddHBand="0" w:evenHBand="0" w:firstRowFirstColumn="0" w:firstRowLastColumn="0" w:lastRowFirstColumn="0" w:lastRowLastColumn="0"/>
            <w:tcW w:w="2005" w:type="dxa"/>
          </w:tcPr>
          <w:p w14:paraId="18B17CE9" w14:textId="77777777" w:rsidR="00D11066" w:rsidRPr="00D11066" w:rsidRDefault="00D11066" w:rsidP="00D11066">
            <w:pPr>
              <w:rPr>
                <w:rFonts w:ascii="Cambria" w:hAnsi="Cambria"/>
              </w:rPr>
            </w:pPr>
            <w:r w:rsidRPr="00D11066">
              <w:rPr>
                <w:rFonts w:ascii="Cambria" w:hAnsi="Cambria"/>
              </w:rPr>
              <w:t>Reduction of Earnings Management</w:t>
            </w:r>
          </w:p>
        </w:tc>
        <w:tc>
          <w:tcPr>
            <w:tcW w:w="1684" w:type="dxa"/>
          </w:tcPr>
          <w:p w14:paraId="6C11C8C3" w14:textId="77777777" w:rsidR="00D11066" w:rsidRPr="00D11066" w:rsidRDefault="00D11066" w:rsidP="00D11066">
            <w:pPr>
              <w:cnfStyle w:val="000000000000" w:firstRow="0" w:lastRow="0" w:firstColumn="0" w:lastColumn="0" w:oddVBand="0" w:evenVBand="0" w:oddHBand="0" w:evenHBand="0" w:firstRowFirstColumn="0" w:firstRowLastColumn="0" w:lastRowFirstColumn="0" w:lastRowLastColumn="0"/>
              <w:rPr>
                <w:rFonts w:ascii="Cambria" w:hAnsi="Cambria"/>
              </w:rPr>
            </w:pPr>
            <w:r w:rsidRPr="00D11066">
              <w:rPr>
                <w:rFonts w:ascii="Cambria" w:hAnsi="Cambria"/>
              </w:rPr>
              <w:t>Principles-based accounting, fair value measurement, enhanced disclosure requirements</w:t>
            </w:r>
          </w:p>
        </w:tc>
        <w:tc>
          <w:tcPr>
            <w:tcW w:w="2202" w:type="dxa"/>
          </w:tcPr>
          <w:p w14:paraId="014FE40B" w14:textId="77777777" w:rsidR="00D11066" w:rsidRPr="00D11066" w:rsidRDefault="00D11066" w:rsidP="00D11066">
            <w:pPr>
              <w:cnfStyle w:val="000000000000" w:firstRow="0" w:lastRow="0" w:firstColumn="0" w:lastColumn="0" w:oddVBand="0" w:evenVBand="0" w:oddHBand="0" w:evenHBand="0" w:firstRowFirstColumn="0" w:firstRowLastColumn="0" w:lastRowFirstColumn="0" w:lastRowLastColumn="0"/>
              <w:rPr>
                <w:rFonts w:ascii="Cambria" w:hAnsi="Cambria"/>
              </w:rPr>
            </w:pPr>
            <w:r w:rsidRPr="00D11066">
              <w:rPr>
                <w:rFonts w:ascii="Cambria" w:hAnsi="Cambria"/>
              </w:rPr>
              <w:t>Reduces opportunistic accounting behavior and improves reliability of financial information</w:t>
            </w:r>
          </w:p>
        </w:tc>
        <w:tc>
          <w:tcPr>
            <w:tcW w:w="3318" w:type="dxa"/>
          </w:tcPr>
          <w:p w14:paraId="70EC2F91" w14:textId="77777777" w:rsidR="00D11066" w:rsidRPr="00D11066" w:rsidRDefault="00D11066" w:rsidP="00D11066">
            <w:pPr>
              <w:cnfStyle w:val="000000000000" w:firstRow="0" w:lastRow="0" w:firstColumn="0" w:lastColumn="0" w:oddVBand="0" w:evenVBand="0" w:oddHBand="0" w:evenHBand="0" w:firstRowFirstColumn="0" w:firstRowLastColumn="0" w:lastRowFirstColumn="0" w:lastRowLastColumn="0"/>
              <w:rPr>
                <w:rFonts w:ascii="Cambria" w:hAnsi="Cambria"/>
              </w:rPr>
            </w:pPr>
            <w:r w:rsidRPr="00D11066">
              <w:rPr>
                <w:rFonts w:ascii="Cambria" w:hAnsi="Cambria"/>
              </w:rPr>
              <w:t>IFRS adoption is associated with lower earnings management and more timely loss recognition (Himanshu &amp; Baker, 2025; Siregar et al., 2025; Rouvolis, 2022; Cărea &amp; Mișu, 2025)</w:t>
            </w:r>
          </w:p>
        </w:tc>
      </w:tr>
      <w:tr w:rsidR="00D11066" w:rsidRPr="00D11066" w14:paraId="16B95C37" w14:textId="77777777" w:rsidTr="002B1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5" w:type="dxa"/>
          </w:tcPr>
          <w:p w14:paraId="36D1365B" w14:textId="77777777" w:rsidR="00D11066" w:rsidRPr="00D11066" w:rsidRDefault="00D11066" w:rsidP="00D11066">
            <w:pPr>
              <w:rPr>
                <w:rFonts w:ascii="Cambria" w:hAnsi="Cambria"/>
              </w:rPr>
            </w:pPr>
            <w:r w:rsidRPr="00D11066">
              <w:rPr>
                <w:rFonts w:ascii="Cambria" w:hAnsi="Cambria"/>
              </w:rPr>
              <w:t>Capital Market Efficiency</w:t>
            </w:r>
          </w:p>
        </w:tc>
        <w:tc>
          <w:tcPr>
            <w:tcW w:w="1684" w:type="dxa"/>
          </w:tcPr>
          <w:p w14:paraId="131F18BA" w14:textId="77777777" w:rsidR="00D11066" w:rsidRPr="00D11066" w:rsidRDefault="00D11066" w:rsidP="00D11066">
            <w:pPr>
              <w:cnfStyle w:val="000000100000" w:firstRow="0" w:lastRow="0" w:firstColumn="0" w:lastColumn="0" w:oddVBand="0" w:evenVBand="0" w:oddHBand="1" w:evenHBand="0" w:firstRowFirstColumn="0" w:firstRowLastColumn="0" w:lastRowFirstColumn="0" w:lastRowLastColumn="0"/>
              <w:rPr>
                <w:rFonts w:ascii="Cambria" w:hAnsi="Cambria"/>
              </w:rPr>
            </w:pPr>
            <w:r w:rsidRPr="00D11066">
              <w:rPr>
                <w:rFonts w:ascii="Cambria" w:hAnsi="Cambria"/>
              </w:rPr>
              <w:t>Improved financial transparency and disclosure comparability</w:t>
            </w:r>
          </w:p>
        </w:tc>
        <w:tc>
          <w:tcPr>
            <w:tcW w:w="2202" w:type="dxa"/>
          </w:tcPr>
          <w:p w14:paraId="2B045EFB" w14:textId="77777777" w:rsidR="00D11066" w:rsidRPr="00D11066" w:rsidRDefault="00D11066" w:rsidP="00D11066">
            <w:pPr>
              <w:cnfStyle w:val="000000100000" w:firstRow="0" w:lastRow="0" w:firstColumn="0" w:lastColumn="0" w:oddVBand="0" w:evenVBand="0" w:oddHBand="1" w:evenHBand="0" w:firstRowFirstColumn="0" w:firstRowLastColumn="0" w:lastRowFirstColumn="0" w:lastRowLastColumn="0"/>
              <w:rPr>
                <w:rFonts w:ascii="Cambria" w:hAnsi="Cambria"/>
              </w:rPr>
            </w:pPr>
            <w:r w:rsidRPr="00D11066">
              <w:rPr>
                <w:rFonts w:ascii="Cambria" w:hAnsi="Cambria"/>
              </w:rPr>
              <w:t>Reduces information asymmetry between firms and investors, facilitating efficient capital allocation</w:t>
            </w:r>
          </w:p>
        </w:tc>
        <w:tc>
          <w:tcPr>
            <w:tcW w:w="3318" w:type="dxa"/>
          </w:tcPr>
          <w:p w14:paraId="61BC7AA1" w14:textId="77777777" w:rsidR="00D11066" w:rsidRPr="00D11066" w:rsidRDefault="00D11066" w:rsidP="00D11066">
            <w:pPr>
              <w:cnfStyle w:val="000000100000" w:firstRow="0" w:lastRow="0" w:firstColumn="0" w:lastColumn="0" w:oddVBand="0" w:evenVBand="0" w:oddHBand="1" w:evenHBand="0" w:firstRowFirstColumn="0" w:firstRowLastColumn="0" w:lastRowFirstColumn="0" w:lastRowLastColumn="0"/>
              <w:rPr>
                <w:rFonts w:ascii="Cambria" w:hAnsi="Cambria"/>
              </w:rPr>
            </w:pPr>
            <w:r w:rsidRPr="00D11066">
              <w:rPr>
                <w:rFonts w:ascii="Cambria" w:hAnsi="Cambria"/>
              </w:rPr>
              <w:t>Harmonized reporting supports cross-border investment and reduces reporting costs (Ilakkiya, 2024; Mohan &amp; Tambe, 2025)</w:t>
            </w:r>
          </w:p>
        </w:tc>
      </w:tr>
      <w:tr w:rsidR="00D11066" w:rsidRPr="00D11066" w14:paraId="24BCB6F0" w14:textId="77777777" w:rsidTr="002B1FEE">
        <w:trPr>
          <w:jc w:val="center"/>
        </w:trPr>
        <w:tc>
          <w:tcPr>
            <w:cnfStyle w:val="001000000000" w:firstRow="0" w:lastRow="0" w:firstColumn="1" w:lastColumn="0" w:oddVBand="0" w:evenVBand="0" w:oddHBand="0" w:evenHBand="0" w:firstRowFirstColumn="0" w:firstRowLastColumn="0" w:lastRowFirstColumn="0" w:lastRowLastColumn="0"/>
            <w:tcW w:w="2005" w:type="dxa"/>
          </w:tcPr>
          <w:p w14:paraId="601368C5" w14:textId="77777777" w:rsidR="00D11066" w:rsidRPr="00D11066" w:rsidRDefault="00D11066" w:rsidP="00D11066">
            <w:pPr>
              <w:rPr>
                <w:rFonts w:ascii="Cambria" w:hAnsi="Cambria"/>
              </w:rPr>
            </w:pPr>
            <w:r w:rsidRPr="00D11066">
              <w:rPr>
                <w:rFonts w:ascii="Cambria" w:hAnsi="Cambria"/>
              </w:rPr>
              <w:t>Institutional Environment</w:t>
            </w:r>
          </w:p>
        </w:tc>
        <w:tc>
          <w:tcPr>
            <w:tcW w:w="1684" w:type="dxa"/>
          </w:tcPr>
          <w:p w14:paraId="63A72FA5" w14:textId="77777777" w:rsidR="00D11066" w:rsidRPr="00D11066" w:rsidRDefault="00D11066" w:rsidP="00D11066">
            <w:pPr>
              <w:cnfStyle w:val="000000000000" w:firstRow="0" w:lastRow="0" w:firstColumn="0" w:lastColumn="0" w:oddVBand="0" w:evenVBand="0" w:oddHBand="0" w:evenHBand="0" w:firstRowFirstColumn="0" w:firstRowLastColumn="0" w:lastRowFirstColumn="0" w:lastRowLastColumn="0"/>
              <w:rPr>
                <w:rFonts w:ascii="Cambria" w:hAnsi="Cambria"/>
              </w:rPr>
            </w:pPr>
            <w:r w:rsidRPr="00D11066">
              <w:rPr>
                <w:rFonts w:ascii="Cambria" w:hAnsi="Cambria"/>
              </w:rPr>
              <w:t>Legal enforcement, regulatory quality, corporate governance</w:t>
            </w:r>
          </w:p>
        </w:tc>
        <w:tc>
          <w:tcPr>
            <w:tcW w:w="2202" w:type="dxa"/>
          </w:tcPr>
          <w:p w14:paraId="1FDBC43B" w14:textId="77777777" w:rsidR="00D11066" w:rsidRPr="00D11066" w:rsidRDefault="00D11066" w:rsidP="00D11066">
            <w:pPr>
              <w:cnfStyle w:val="000000000000" w:firstRow="0" w:lastRow="0" w:firstColumn="0" w:lastColumn="0" w:oddVBand="0" w:evenVBand="0" w:oddHBand="0" w:evenHBand="0" w:firstRowFirstColumn="0" w:firstRowLastColumn="0" w:lastRowFirstColumn="0" w:lastRowLastColumn="0"/>
              <w:rPr>
                <w:rFonts w:ascii="Cambria" w:hAnsi="Cambria"/>
              </w:rPr>
            </w:pPr>
            <w:r w:rsidRPr="00D11066">
              <w:rPr>
                <w:rFonts w:ascii="Cambria" w:hAnsi="Cambria"/>
              </w:rPr>
              <w:t>Strengthens the effectiveness of IFRS implementation and enhances reporting credibility</w:t>
            </w:r>
          </w:p>
        </w:tc>
        <w:tc>
          <w:tcPr>
            <w:tcW w:w="3318" w:type="dxa"/>
          </w:tcPr>
          <w:p w14:paraId="4D03C581" w14:textId="77777777" w:rsidR="00D11066" w:rsidRPr="00D11066" w:rsidRDefault="00D11066" w:rsidP="00D11066">
            <w:pPr>
              <w:cnfStyle w:val="000000000000" w:firstRow="0" w:lastRow="0" w:firstColumn="0" w:lastColumn="0" w:oddVBand="0" w:evenVBand="0" w:oddHBand="0" w:evenHBand="0" w:firstRowFirstColumn="0" w:firstRowLastColumn="0" w:lastRowFirstColumn="0" w:lastRowLastColumn="0"/>
              <w:rPr>
                <w:rFonts w:ascii="Cambria" w:hAnsi="Cambria"/>
              </w:rPr>
            </w:pPr>
            <w:r w:rsidRPr="00D11066">
              <w:rPr>
                <w:rFonts w:ascii="Cambria" w:hAnsi="Cambria"/>
              </w:rPr>
              <w:t>Positive IFRS impact is stronger in countries with strong governance and enforcement systems (Lawalata &amp; Salle, 2024; Himanshu &amp; Baker, 2025; N. et al., 2024)</w:t>
            </w:r>
          </w:p>
        </w:tc>
      </w:tr>
      <w:tr w:rsidR="00D11066" w:rsidRPr="00D11066" w14:paraId="667D0ABD" w14:textId="77777777" w:rsidTr="002B1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5" w:type="dxa"/>
          </w:tcPr>
          <w:p w14:paraId="76C2DD31" w14:textId="77777777" w:rsidR="00D11066" w:rsidRPr="00D11066" w:rsidRDefault="00D11066" w:rsidP="00D11066">
            <w:pPr>
              <w:rPr>
                <w:rFonts w:ascii="Cambria" w:hAnsi="Cambria"/>
              </w:rPr>
            </w:pPr>
            <w:r w:rsidRPr="00D11066">
              <w:rPr>
                <w:rFonts w:ascii="Cambria" w:hAnsi="Cambria"/>
              </w:rPr>
              <w:t>Implementation Challenges</w:t>
            </w:r>
          </w:p>
        </w:tc>
        <w:tc>
          <w:tcPr>
            <w:tcW w:w="1684" w:type="dxa"/>
          </w:tcPr>
          <w:p w14:paraId="2CAC8FFF" w14:textId="77777777" w:rsidR="00D11066" w:rsidRPr="00D11066" w:rsidRDefault="00D11066" w:rsidP="00D11066">
            <w:pPr>
              <w:cnfStyle w:val="000000100000" w:firstRow="0" w:lastRow="0" w:firstColumn="0" w:lastColumn="0" w:oddVBand="0" w:evenVBand="0" w:oddHBand="1" w:evenHBand="0" w:firstRowFirstColumn="0" w:firstRowLastColumn="0" w:lastRowFirstColumn="0" w:lastRowLastColumn="0"/>
              <w:rPr>
                <w:rFonts w:ascii="Cambria" w:hAnsi="Cambria"/>
              </w:rPr>
            </w:pPr>
            <w:r w:rsidRPr="00D11066">
              <w:rPr>
                <w:rFonts w:ascii="Cambria" w:hAnsi="Cambria"/>
              </w:rPr>
              <w:t xml:space="preserve">Transition costs, reporting </w:t>
            </w:r>
            <w:r w:rsidRPr="00D11066">
              <w:rPr>
                <w:rFonts w:ascii="Cambria" w:hAnsi="Cambria"/>
              </w:rPr>
              <w:lastRenderedPageBreak/>
              <w:t>complexity, limited professional capacity</w:t>
            </w:r>
          </w:p>
        </w:tc>
        <w:tc>
          <w:tcPr>
            <w:tcW w:w="2202" w:type="dxa"/>
          </w:tcPr>
          <w:p w14:paraId="731CF264" w14:textId="77777777" w:rsidR="00D11066" w:rsidRPr="00D11066" w:rsidRDefault="00D11066" w:rsidP="00D11066">
            <w:pPr>
              <w:cnfStyle w:val="000000100000" w:firstRow="0" w:lastRow="0" w:firstColumn="0" w:lastColumn="0" w:oddVBand="0" w:evenVBand="0" w:oddHBand="1" w:evenHBand="0" w:firstRowFirstColumn="0" w:firstRowLastColumn="0" w:lastRowFirstColumn="0" w:lastRowLastColumn="0"/>
              <w:rPr>
                <w:rFonts w:ascii="Cambria" w:hAnsi="Cambria"/>
              </w:rPr>
            </w:pPr>
            <w:r w:rsidRPr="00D11066">
              <w:rPr>
                <w:rFonts w:ascii="Cambria" w:hAnsi="Cambria"/>
              </w:rPr>
              <w:lastRenderedPageBreak/>
              <w:t xml:space="preserve">May temporarily reduce reporting quality during </w:t>
            </w:r>
            <w:r w:rsidRPr="00D11066">
              <w:rPr>
                <w:rFonts w:ascii="Cambria" w:hAnsi="Cambria"/>
              </w:rPr>
              <w:lastRenderedPageBreak/>
              <w:t>early adoption stages</w:t>
            </w:r>
          </w:p>
        </w:tc>
        <w:tc>
          <w:tcPr>
            <w:tcW w:w="3318" w:type="dxa"/>
          </w:tcPr>
          <w:p w14:paraId="388BCE7B" w14:textId="77777777" w:rsidR="00D11066" w:rsidRPr="00D11066" w:rsidRDefault="00D11066" w:rsidP="00D11066">
            <w:pPr>
              <w:cnfStyle w:val="000000100000" w:firstRow="0" w:lastRow="0" w:firstColumn="0" w:lastColumn="0" w:oddVBand="0" w:evenVBand="0" w:oddHBand="1" w:evenHBand="0" w:firstRowFirstColumn="0" w:firstRowLastColumn="0" w:lastRowFirstColumn="0" w:lastRowLastColumn="0"/>
              <w:rPr>
                <w:rFonts w:ascii="Cambria" w:hAnsi="Cambria"/>
              </w:rPr>
            </w:pPr>
            <w:r w:rsidRPr="00D11066">
              <w:rPr>
                <w:rFonts w:ascii="Cambria" w:hAnsi="Cambria"/>
              </w:rPr>
              <w:lastRenderedPageBreak/>
              <w:t xml:space="preserve">Initial decline in reporting quality observed during early IFRS adoption due to learning </w:t>
            </w:r>
            <w:r w:rsidRPr="00D11066">
              <w:rPr>
                <w:rFonts w:ascii="Cambria" w:hAnsi="Cambria"/>
              </w:rPr>
              <w:lastRenderedPageBreak/>
              <w:t>curve effects (Adhikari et al., 2021; Syahrani et al., 2025; Sánchez-Caguana, 2023)</w:t>
            </w:r>
          </w:p>
        </w:tc>
      </w:tr>
    </w:tbl>
    <w:p w14:paraId="6611EE7E" w14:textId="77777777" w:rsidR="002B1FEE" w:rsidRPr="002B1FEE" w:rsidRDefault="002B1FEE" w:rsidP="002B1FEE">
      <w:pPr>
        <w:pBdr>
          <w:top w:val="nil"/>
          <w:left w:val="nil"/>
          <w:bottom w:val="nil"/>
          <w:right w:val="nil"/>
          <w:between w:val="nil"/>
        </w:pBdr>
        <w:ind w:firstLine="709"/>
        <w:jc w:val="both"/>
        <w:rPr>
          <w:rFonts w:ascii="Cambria" w:eastAsia="Cambria" w:hAnsi="Cambria" w:cs="Cambria"/>
          <w:lang w:val="en-US"/>
        </w:rPr>
      </w:pPr>
      <w:r w:rsidRPr="002B1FEE">
        <w:rPr>
          <w:rFonts w:ascii="Cambria" w:eastAsia="Cambria" w:hAnsi="Cambria" w:cs="Cambria"/>
          <w:lang w:val="en-US"/>
        </w:rPr>
        <w:lastRenderedPageBreak/>
        <w:t>The results presented in Table 1 indicate that the convergence of international accounting standards plays a significant role in improving financial reporting quality, particularly through enhanced transparency, comparability, and disclosure practices. The harmonization of accounting standards reduces inconsistencies in financial reporting across countries, enabling investors and regulators to evaluate corporate performance more effectively. Additionally, the adoption of IFRS contributes to reducing earnings management and increasing the reliability of financial information, which strengthens the credibility of corporate financial statements in global capital markets.</w:t>
      </w:r>
    </w:p>
    <w:p w14:paraId="58F73EF3" w14:textId="77777777" w:rsidR="002B1FEE" w:rsidRPr="002B1FEE" w:rsidRDefault="002B1FEE" w:rsidP="002B1FEE">
      <w:pPr>
        <w:pBdr>
          <w:top w:val="nil"/>
          <w:left w:val="nil"/>
          <w:bottom w:val="nil"/>
          <w:right w:val="nil"/>
          <w:between w:val="nil"/>
        </w:pBdr>
        <w:ind w:firstLine="709"/>
        <w:jc w:val="both"/>
        <w:rPr>
          <w:rFonts w:ascii="Cambria" w:eastAsia="Cambria" w:hAnsi="Cambria" w:cs="Cambria"/>
          <w:lang w:val="en-US"/>
        </w:rPr>
      </w:pPr>
      <w:r w:rsidRPr="002B1FEE">
        <w:rPr>
          <w:rFonts w:ascii="Cambria" w:eastAsia="Cambria" w:hAnsi="Cambria" w:cs="Cambria"/>
          <w:lang w:val="en-US"/>
        </w:rPr>
        <w:t>However, the analysis also reveals that the effectiveness of IFRS convergence is strongly influenced by institutional factors such as regulatory enforcement, governance structures, and the professional capacity of accounting practitioners. Countries with strong legal frameworks and effective oversight mechanisms tend to experience greater improvements in financial reporting quality following IFRS adoption. Conversely, in environments with weaker institutional structures, the benefits of IFRS convergence may be limited or may take longer to materialize. Furthermore, the transition toward IFRS-based reporting often involves implementation challenges, including increased reporting complexity, higher compliance costs, and the need for professional training. These factors may temporarily reduce reporting quality during the early stages of adoption. Overall, the findings suggest that while IFRS convergence has the potential to significantly improve financial reporting quality, its effectiveness ultimately depends on the institutional and regulatory environment in which the standards are implemented.</w:t>
      </w:r>
    </w:p>
    <w:p w14:paraId="2036CEB0" w14:textId="77777777" w:rsidR="00C87D99" w:rsidRPr="002F3A7F" w:rsidRDefault="00C87D99" w:rsidP="00C87D99">
      <w:pPr>
        <w:pBdr>
          <w:top w:val="nil"/>
          <w:left w:val="nil"/>
          <w:bottom w:val="nil"/>
          <w:right w:val="nil"/>
          <w:between w:val="nil"/>
        </w:pBdr>
        <w:jc w:val="both"/>
        <w:rPr>
          <w:rFonts w:ascii="Cambria" w:eastAsia="Cambria" w:hAnsi="Cambria" w:cs="Cambria"/>
          <w:lang w:val="en-US"/>
        </w:rPr>
      </w:pPr>
    </w:p>
    <w:p w14:paraId="71A40AAE" w14:textId="77777777" w:rsidR="00C87D99" w:rsidRDefault="00C87D99" w:rsidP="00C87D99">
      <w:pPr>
        <w:pBdr>
          <w:top w:val="nil"/>
          <w:left w:val="nil"/>
          <w:bottom w:val="nil"/>
          <w:right w:val="nil"/>
          <w:between w:val="nil"/>
        </w:pBdr>
        <w:jc w:val="both"/>
        <w:rPr>
          <w:rFonts w:ascii="Cambria" w:eastAsia="Cambria" w:hAnsi="Cambria" w:cs="Cambria"/>
          <w:b/>
          <w:bCs/>
          <w:lang w:val="en-US"/>
        </w:rPr>
      </w:pPr>
      <w:r>
        <w:rPr>
          <w:rFonts w:ascii="Cambria" w:eastAsia="Cambria" w:hAnsi="Cambria" w:cs="Cambria"/>
          <w:b/>
          <w:bCs/>
          <w:lang w:val="en-US"/>
        </w:rPr>
        <w:t>Discussion</w:t>
      </w:r>
    </w:p>
    <w:p w14:paraId="3D3A9FC2" w14:textId="77777777" w:rsidR="002B1FEE" w:rsidRPr="002B1FEE" w:rsidRDefault="002B1FEE" w:rsidP="002B1FEE">
      <w:pPr>
        <w:pBdr>
          <w:top w:val="nil"/>
          <w:left w:val="nil"/>
          <w:bottom w:val="nil"/>
          <w:right w:val="nil"/>
          <w:between w:val="nil"/>
        </w:pBdr>
        <w:ind w:firstLine="709"/>
        <w:jc w:val="both"/>
        <w:rPr>
          <w:rFonts w:ascii="Cambria" w:eastAsia="Cambria" w:hAnsi="Cambria" w:cs="Cambria"/>
          <w:lang w:val="en-US"/>
        </w:rPr>
      </w:pPr>
      <w:r w:rsidRPr="002B1FEE">
        <w:rPr>
          <w:rFonts w:ascii="Cambria" w:eastAsia="Cambria" w:hAnsi="Cambria" w:cs="Cambria"/>
          <w:lang w:val="en-US"/>
        </w:rPr>
        <w:t>The results of the literature synthesis presented in Table 1 indicate that the convergence of International Financial Reporting Standards (IFRS) represents one of the most significant institutional responses to the globalization of financial markets. The increasing integration of global capital markets, cross-border investments, and multinational corporate operations has created a strong demand for a unified financial reporting framework that enables comparability and transparency across jurisdictions. Historically, the coexistence of different national accounting standards created significant challenges for investors, regulators, and financial analysts attempting to interpret financial information from multinational firms. Differences in measurement, recognition, and disclosure requirements often reduced the comparability of financial statements and increased the costs associated with cross-border investment analysis. In this context, the development and global diffusion of IFRS represent an effort to establish a common financial reporting language that supports the functioning of integrated global markets. Research indicates that globalization of capital markets and international investment flows has been a major driving force behind the increasing adoption of IFRS across countries (</w:t>
      </w:r>
      <w:proofErr w:type="spellStart"/>
      <w:r w:rsidRPr="002B1FEE">
        <w:rPr>
          <w:rFonts w:ascii="Cambria" w:eastAsia="Cambria" w:hAnsi="Cambria" w:cs="Cambria"/>
          <w:lang w:val="en-US"/>
        </w:rPr>
        <w:t>Syahrani</w:t>
      </w:r>
      <w:proofErr w:type="spellEnd"/>
      <w:r w:rsidRPr="002B1FEE">
        <w:rPr>
          <w:rFonts w:ascii="Cambria" w:eastAsia="Cambria" w:hAnsi="Cambria" w:cs="Cambria"/>
          <w:lang w:val="en-US"/>
        </w:rPr>
        <w:t xml:space="preserve"> et al., 2025; </w:t>
      </w:r>
      <w:proofErr w:type="spellStart"/>
      <w:r w:rsidRPr="002B1FEE">
        <w:rPr>
          <w:rFonts w:ascii="Cambria" w:eastAsia="Cambria" w:hAnsi="Cambria" w:cs="Cambria"/>
          <w:lang w:val="en-US"/>
        </w:rPr>
        <w:t>Holovina</w:t>
      </w:r>
      <w:proofErr w:type="spellEnd"/>
      <w:r w:rsidRPr="002B1FEE">
        <w:rPr>
          <w:rFonts w:ascii="Cambria" w:eastAsia="Cambria" w:hAnsi="Cambria" w:cs="Cambria"/>
          <w:lang w:val="en-US"/>
        </w:rPr>
        <w:t xml:space="preserve"> et al., 2022; Ilakkiya, 2024). As a result, IFRS has become the dominant accounting framework worldwide, with only a limited number of jurisdictions continuing to rely exclusively on domestic accounting standards (</w:t>
      </w:r>
      <w:proofErr w:type="spellStart"/>
      <w:r w:rsidRPr="002B1FEE">
        <w:rPr>
          <w:rFonts w:ascii="Cambria" w:eastAsia="Cambria" w:hAnsi="Cambria" w:cs="Cambria"/>
          <w:lang w:val="en-US"/>
        </w:rPr>
        <w:t>Holovina</w:t>
      </w:r>
      <w:proofErr w:type="spellEnd"/>
      <w:r w:rsidRPr="002B1FEE">
        <w:rPr>
          <w:rFonts w:ascii="Cambria" w:eastAsia="Cambria" w:hAnsi="Cambria" w:cs="Cambria"/>
          <w:lang w:val="en-US"/>
        </w:rPr>
        <w:t xml:space="preserve"> et al., 2022; </w:t>
      </w:r>
      <w:proofErr w:type="spellStart"/>
      <w:r w:rsidRPr="002B1FEE">
        <w:rPr>
          <w:rFonts w:ascii="Cambria" w:eastAsia="Cambria" w:hAnsi="Cambria" w:cs="Cambria"/>
          <w:lang w:val="en-US"/>
        </w:rPr>
        <w:t>Imamova</w:t>
      </w:r>
      <w:proofErr w:type="spellEnd"/>
      <w:r w:rsidRPr="002B1FEE">
        <w:rPr>
          <w:rFonts w:ascii="Cambria" w:eastAsia="Cambria" w:hAnsi="Cambria" w:cs="Cambria"/>
          <w:lang w:val="en-US"/>
        </w:rPr>
        <w:t>, 2025).</w:t>
      </w:r>
    </w:p>
    <w:p w14:paraId="0D0FBAB5" w14:textId="77777777" w:rsidR="002B1FEE" w:rsidRPr="002B1FEE" w:rsidRDefault="002B1FEE" w:rsidP="002B1FEE">
      <w:pPr>
        <w:pBdr>
          <w:top w:val="nil"/>
          <w:left w:val="nil"/>
          <w:bottom w:val="nil"/>
          <w:right w:val="nil"/>
          <w:between w:val="nil"/>
        </w:pBdr>
        <w:ind w:firstLine="709"/>
        <w:jc w:val="both"/>
        <w:rPr>
          <w:rFonts w:ascii="Cambria" w:eastAsia="Cambria" w:hAnsi="Cambria" w:cs="Cambria"/>
          <w:lang w:val="en-US"/>
        </w:rPr>
      </w:pPr>
      <w:r w:rsidRPr="002B1FEE">
        <w:rPr>
          <w:rFonts w:ascii="Cambria" w:eastAsia="Cambria" w:hAnsi="Cambria" w:cs="Cambria"/>
          <w:lang w:val="en-US"/>
        </w:rPr>
        <w:t xml:space="preserve">One of the primary motivations behind IFRS convergence is the desire to enhance the comparability and transparency of financial reporting. Financial statements prepared under harmonized accounting standards allow investors to compare the financial performance of firms operating in different countries more effectively. This </w:t>
      </w:r>
      <w:r w:rsidRPr="002B1FEE">
        <w:rPr>
          <w:rFonts w:ascii="Cambria" w:eastAsia="Cambria" w:hAnsi="Cambria" w:cs="Cambria"/>
          <w:lang w:val="en-US"/>
        </w:rPr>
        <w:lastRenderedPageBreak/>
        <w:t>comparability reduces information asymmetry and enables more efficient allocation of capital across global markets. Empirical evidence suggests that IFRS adoption improves the transparency and accountability of corporate financial reporting by strengthening disclosure requirements and standardizing accounting practices across jurisdictions (</w:t>
      </w:r>
      <w:proofErr w:type="spellStart"/>
      <w:r w:rsidRPr="002B1FEE">
        <w:rPr>
          <w:rFonts w:ascii="Cambria" w:eastAsia="Cambria" w:hAnsi="Cambria" w:cs="Cambria"/>
          <w:lang w:val="en-US"/>
        </w:rPr>
        <w:t>Lawalata</w:t>
      </w:r>
      <w:proofErr w:type="spellEnd"/>
      <w:r w:rsidRPr="002B1FEE">
        <w:rPr>
          <w:rFonts w:ascii="Cambria" w:eastAsia="Cambria" w:hAnsi="Cambria" w:cs="Cambria"/>
          <w:lang w:val="en-US"/>
        </w:rPr>
        <w:t xml:space="preserve"> &amp; Salle, 2024; </w:t>
      </w:r>
      <w:proofErr w:type="spellStart"/>
      <w:r w:rsidRPr="002B1FEE">
        <w:rPr>
          <w:rFonts w:ascii="Cambria" w:eastAsia="Cambria" w:hAnsi="Cambria" w:cs="Cambria"/>
          <w:lang w:val="en-US"/>
        </w:rPr>
        <w:t>Šuvakov</w:t>
      </w:r>
      <w:proofErr w:type="spellEnd"/>
      <w:r w:rsidRPr="002B1FEE">
        <w:rPr>
          <w:rFonts w:ascii="Cambria" w:eastAsia="Cambria" w:hAnsi="Cambria" w:cs="Cambria"/>
          <w:lang w:val="en-US"/>
        </w:rPr>
        <w:t xml:space="preserve"> &amp; Sekicki, 2025; Ilakkiya, 2024; </w:t>
      </w:r>
      <w:proofErr w:type="spellStart"/>
      <w:r w:rsidRPr="002B1FEE">
        <w:rPr>
          <w:rFonts w:ascii="Cambria" w:eastAsia="Cambria" w:hAnsi="Cambria" w:cs="Cambria"/>
          <w:lang w:val="en-US"/>
        </w:rPr>
        <w:t>Hehanussa</w:t>
      </w:r>
      <w:proofErr w:type="spellEnd"/>
      <w:r w:rsidRPr="002B1FEE">
        <w:rPr>
          <w:rFonts w:ascii="Cambria" w:eastAsia="Cambria" w:hAnsi="Cambria" w:cs="Cambria"/>
          <w:lang w:val="en-US"/>
        </w:rPr>
        <w:t>, 2025). These improvements are particularly important for international investors who rely on financial statements to evaluate corporate performance and risk profiles. By promoting greater transparency and comparability, IFRS convergence contributes to the credibility of financial information and enhances investor confidence in global capital markets.</w:t>
      </w:r>
    </w:p>
    <w:p w14:paraId="2F7A7471" w14:textId="77777777" w:rsidR="002B1FEE" w:rsidRPr="002B1FEE" w:rsidRDefault="002B1FEE" w:rsidP="002B1FEE">
      <w:pPr>
        <w:pBdr>
          <w:top w:val="nil"/>
          <w:left w:val="nil"/>
          <w:bottom w:val="nil"/>
          <w:right w:val="nil"/>
          <w:between w:val="nil"/>
        </w:pBdr>
        <w:ind w:firstLine="709"/>
        <w:jc w:val="both"/>
        <w:rPr>
          <w:rFonts w:ascii="Cambria" w:eastAsia="Cambria" w:hAnsi="Cambria" w:cs="Cambria"/>
          <w:lang w:val="en-US"/>
        </w:rPr>
      </w:pPr>
      <w:r w:rsidRPr="002B1FEE">
        <w:rPr>
          <w:rFonts w:ascii="Cambria" w:eastAsia="Cambria" w:hAnsi="Cambria" w:cs="Cambria"/>
          <w:lang w:val="en-US"/>
        </w:rPr>
        <w:t>In addition to improving transparency and comparability, the harmonization of accounting standards also facilitates cross-border economic activities. Multinational corporations operating in multiple jurisdictions often face significant reporting costs when they are required to prepare financial statements under different national accounting standards. The convergence toward IFRS reduces these costs by allowing firms to use a single set of accounting principles for financial reporting across multiple markets. This standardization simplifies financial reporting processes and improves the efficiency of multinational corporate operations. Furthermore, harmonized accounting standards support cross-border mergers and acquisitions by providing consistent financial information that can be easily interpreted by investors and regulators in different countries. Studies indicate that IFRS adoption contributes to increased cross-border capital flows and facilitates the integration of global financial markets (Ilakkiya, 2024; Mohan &amp; Tambe, 2025). These findings suggest that accounting harmonization plays an important role in supporting international economic integration.</w:t>
      </w:r>
    </w:p>
    <w:p w14:paraId="07D1DFDB" w14:textId="77777777" w:rsidR="002B1FEE" w:rsidRPr="002B1FEE" w:rsidRDefault="002B1FEE" w:rsidP="002B1FEE">
      <w:pPr>
        <w:pBdr>
          <w:top w:val="nil"/>
          <w:left w:val="nil"/>
          <w:bottom w:val="nil"/>
          <w:right w:val="nil"/>
          <w:between w:val="nil"/>
        </w:pBdr>
        <w:ind w:firstLine="709"/>
        <w:jc w:val="both"/>
        <w:rPr>
          <w:rFonts w:ascii="Cambria" w:eastAsia="Cambria" w:hAnsi="Cambria" w:cs="Cambria"/>
          <w:lang w:val="en-US"/>
        </w:rPr>
      </w:pPr>
      <w:r w:rsidRPr="002B1FEE">
        <w:rPr>
          <w:rFonts w:ascii="Cambria" w:eastAsia="Cambria" w:hAnsi="Cambria" w:cs="Cambria"/>
          <w:lang w:val="en-US"/>
        </w:rPr>
        <w:t>Despite these benefits, the implementation of IFRS convergence has encountered various challenges, particularly in developing countries and emerging economies. The adoption of international accounting standards requires substantial institutional and organizational adjustments, including changes to regulatory frameworks, professional accounting practices, and corporate governance structures. Differences in legal systems, cultural norms, and levels of professional expertise may influence how IFRS is interpreted and implemented in different countries. In many developing economies, limited institutional capacity and regulatory enforcement mechanisms may constrain the effectiveness of IFRS adoption. Moreover, the transition toward IFRS can impose significant compliance costs on companies, particularly small and medium-sized enterprises that lack the financial and technical resources required to implement complex accounting standards. Studies highlight that regulatory differences, cultural contexts, and human resource capacity remain key challenges in the implementation of IFRS, especially among SMEs and firms operating in developing countries (</w:t>
      </w:r>
      <w:proofErr w:type="spellStart"/>
      <w:r w:rsidRPr="002B1FEE">
        <w:rPr>
          <w:rFonts w:ascii="Cambria" w:eastAsia="Cambria" w:hAnsi="Cambria" w:cs="Cambria"/>
          <w:lang w:val="en-US"/>
        </w:rPr>
        <w:t>Syahrani</w:t>
      </w:r>
      <w:proofErr w:type="spellEnd"/>
      <w:r w:rsidRPr="002B1FEE">
        <w:rPr>
          <w:rFonts w:ascii="Cambria" w:eastAsia="Cambria" w:hAnsi="Cambria" w:cs="Cambria"/>
          <w:lang w:val="en-US"/>
        </w:rPr>
        <w:t xml:space="preserve"> et al., 2025; Gök, 2024; </w:t>
      </w:r>
      <w:proofErr w:type="spellStart"/>
      <w:r w:rsidRPr="002B1FEE">
        <w:rPr>
          <w:rFonts w:ascii="Cambria" w:eastAsia="Cambria" w:hAnsi="Cambria" w:cs="Cambria"/>
          <w:lang w:val="en-US"/>
        </w:rPr>
        <w:t>Šuvakov</w:t>
      </w:r>
      <w:proofErr w:type="spellEnd"/>
      <w:r w:rsidRPr="002B1FEE">
        <w:rPr>
          <w:rFonts w:ascii="Cambria" w:eastAsia="Cambria" w:hAnsi="Cambria" w:cs="Cambria"/>
          <w:lang w:val="en-US"/>
        </w:rPr>
        <w:t xml:space="preserve"> &amp; Sekicki, 2025; Sánchez-Caguana, 2023). These findings indicate that while IFRS convergence aims to standardize financial reporting globally, the outcomes of its implementation may vary depending on national institutional contexts.</w:t>
      </w:r>
    </w:p>
    <w:p w14:paraId="19858F01" w14:textId="77777777" w:rsidR="002B1FEE" w:rsidRPr="002B1FEE" w:rsidRDefault="002B1FEE" w:rsidP="002B1FEE">
      <w:pPr>
        <w:pBdr>
          <w:top w:val="nil"/>
          <w:left w:val="nil"/>
          <w:bottom w:val="nil"/>
          <w:right w:val="nil"/>
          <w:between w:val="nil"/>
        </w:pBdr>
        <w:ind w:firstLine="709"/>
        <w:jc w:val="both"/>
        <w:rPr>
          <w:rFonts w:ascii="Cambria" w:eastAsia="Cambria" w:hAnsi="Cambria" w:cs="Cambria"/>
          <w:lang w:val="en-US"/>
        </w:rPr>
      </w:pPr>
      <w:r w:rsidRPr="002B1FEE">
        <w:rPr>
          <w:rFonts w:ascii="Cambria" w:eastAsia="Cambria" w:hAnsi="Cambria" w:cs="Cambria"/>
          <w:lang w:val="en-US"/>
        </w:rPr>
        <w:t xml:space="preserve">A central argument supporting IFRS convergence is that it enhances the quality of financial reporting. High-quality financial reporting is essential for ensuring transparency, reducing information asymmetry, and supporting efficient capital market operations. Several empirical studies have found that the adoption of IFRS is associated with improvements in financial reporting quality through multiple mechanisms. First, IFRS promotes greater transparency by requiring more comprehensive disclosure of financial information. Second, the principles-based nature of IFRS encourages firms to report financial transactions in a manner that reflects their underlying economic substance rather than merely complying with formal rules. Third, IFRS adoption has been associated with reductions in earnings management practices and improvements in the </w:t>
      </w:r>
      <w:r w:rsidRPr="002B1FEE">
        <w:rPr>
          <w:rFonts w:ascii="Cambria" w:eastAsia="Cambria" w:hAnsi="Cambria" w:cs="Cambria"/>
          <w:lang w:val="en-US"/>
        </w:rPr>
        <w:lastRenderedPageBreak/>
        <w:t>timeliness of loss recognition. These improvements enhance the reliability and relevance of accounting information for investors and other stakeholders. Empirical evidence indicates that firms adopting IFRS tend to exhibit lower levels of discretionary accruals, higher value relevance of accounting information, and improved comparability of financial statements (</w:t>
      </w:r>
      <w:proofErr w:type="spellStart"/>
      <w:r w:rsidRPr="002B1FEE">
        <w:rPr>
          <w:rFonts w:ascii="Cambria" w:eastAsia="Cambria" w:hAnsi="Cambria" w:cs="Cambria"/>
          <w:lang w:val="en-US"/>
        </w:rPr>
        <w:t>Lawalata</w:t>
      </w:r>
      <w:proofErr w:type="spellEnd"/>
      <w:r w:rsidRPr="002B1FEE">
        <w:rPr>
          <w:rFonts w:ascii="Cambria" w:eastAsia="Cambria" w:hAnsi="Cambria" w:cs="Cambria"/>
          <w:lang w:val="en-US"/>
        </w:rPr>
        <w:t xml:space="preserve"> &amp; Salle, 2024; Himanshu &amp; Baker, 2025; Adhikari et al., 2021; Siregar et al., 2025; Mohan &amp; Tambe, 2025; N. et al., 2024; </w:t>
      </w:r>
      <w:proofErr w:type="spellStart"/>
      <w:r w:rsidRPr="002B1FEE">
        <w:rPr>
          <w:rFonts w:ascii="Cambria" w:eastAsia="Cambria" w:hAnsi="Cambria" w:cs="Cambria"/>
          <w:lang w:val="en-US"/>
        </w:rPr>
        <w:t>Rouvolis</w:t>
      </w:r>
      <w:proofErr w:type="spellEnd"/>
      <w:r w:rsidRPr="002B1FEE">
        <w:rPr>
          <w:rFonts w:ascii="Cambria" w:eastAsia="Cambria" w:hAnsi="Cambria" w:cs="Cambria"/>
          <w:lang w:val="en-US"/>
        </w:rPr>
        <w:t xml:space="preserve">, 2022; </w:t>
      </w:r>
      <w:proofErr w:type="spellStart"/>
      <w:r w:rsidRPr="002B1FEE">
        <w:rPr>
          <w:rFonts w:ascii="Cambria" w:eastAsia="Cambria" w:hAnsi="Cambria" w:cs="Cambria"/>
          <w:lang w:val="en-US"/>
        </w:rPr>
        <w:t>Cărea</w:t>
      </w:r>
      <w:proofErr w:type="spellEnd"/>
      <w:r w:rsidRPr="002B1FEE">
        <w:rPr>
          <w:rFonts w:ascii="Cambria" w:eastAsia="Cambria" w:hAnsi="Cambria" w:cs="Cambria"/>
          <w:lang w:val="en-US"/>
        </w:rPr>
        <w:t xml:space="preserve"> &amp; </w:t>
      </w:r>
      <w:proofErr w:type="spellStart"/>
      <w:r w:rsidRPr="002B1FEE">
        <w:rPr>
          <w:rFonts w:ascii="Cambria" w:eastAsia="Cambria" w:hAnsi="Cambria" w:cs="Cambria"/>
          <w:lang w:val="en-US"/>
        </w:rPr>
        <w:t>Mișu</w:t>
      </w:r>
      <w:proofErr w:type="spellEnd"/>
      <w:r w:rsidRPr="002B1FEE">
        <w:rPr>
          <w:rFonts w:ascii="Cambria" w:eastAsia="Cambria" w:hAnsi="Cambria" w:cs="Cambria"/>
          <w:lang w:val="en-US"/>
        </w:rPr>
        <w:t>, 2025).</w:t>
      </w:r>
    </w:p>
    <w:p w14:paraId="33CBE6EA" w14:textId="77777777" w:rsidR="002B1FEE" w:rsidRPr="002B1FEE" w:rsidRDefault="002B1FEE" w:rsidP="002B1FEE">
      <w:pPr>
        <w:pBdr>
          <w:top w:val="nil"/>
          <w:left w:val="nil"/>
          <w:bottom w:val="nil"/>
          <w:right w:val="nil"/>
          <w:between w:val="nil"/>
        </w:pBdr>
        <w:ind w:firstLine="709"/>
        <w:jc w:val="both"/>
        <w:rPr>
          <w:rFonts w:ascii="Cambria" w:eastAsia="Cambria" w:hAnsi="Cambria" w:cs="Cambria"/>
          <w:lang w:val="en-US"/>
        </w:rPr>
      </w:pPr>
      <w:r w:rsidRPr="002B1FEE">
        <w:rPr>
          <w:rFonts w:ascii="Cambria" w:eastAsia="Cambria" w:hAnsi="Cambria" w:cs="Cambria"/>
          <w:lang w:val="en-US"/>
        </w:rPr>
        <w:t>However, the impact of IFRS convergence on financial reporting quality is not uniform across countries. The effectiveness of international accounting standards depends heavily on the institutional environment in which they are implemented. Countries with strong regulatory frameworks, effective legal enforcement mechanisms, and well-developed corporate governance systems tend to experience greater improvements in financial reporting quality following IFRS adoption. In these contexts, firms face stronger incentives to comply with disclosure requirements and maintain transparent reporting practices. Studies demonstrate that the positive effects of IFRS adoption are significantly stronger in countries with robust legal enforcement and high-quality governance institutions (</w:t>
      </w:r>
      <w:proofErr w:type="spellStart"/>
      <w:r w:rsidRPr="002B1FEE">
        <w:rPr>
          <w:rFonts w:ascii="Cambria" w:eastAsia="Cambria" w:hAnsi="Cambria" w:cs="Cambria"/>
          <w:lang w:val="en-US"/>
        </w:rPr>
        <w:t>Lawalata</w:t>
      </w:r>
      <w:proofErr w:type="spellEnd"/>
      <w:r w:rsidRPr="002B1FEE">
        <w:rPr>
          <w:rFonts w:ascii="Cambria" w:eastAsia="Cambria" w:hAnsi="Cambria" w:cs="Cambria"/>
          <w:lang w:val="en-US"/>
        </w:rPr>
        <w:t xml:space="preserve"> &amp; Salle, 2024; Himanshu &amp; Baker, 2025; N. et al., 2024). This finding highlights the importance of institutional support in ensuring that accounting standards are implemented effectively and achieve their intended objectives.</w:t>
      </w:r>
    </w:p>
    <w:p w14:paraId="306678C6" w14:textId="77777777" w:rsidR="002B1FEE" w:rsidRPr="002B1FEE" w:rsidRDefault="002B1FEE" w:rsidP="002B1FEE">
      <w:pPr>
        <w:pBdr>
          <w:top w:val="nil"/>
          <w:left w:val="nil"/>
          <w:bottom w:val="nil"/>
          <w:right w:val="nil"/>
          <w:between w:val="nil"/>
        </w:pBdr>
        <w:ind w:firstLine="709"/>
        <w:jc w:val="both"/>
        <w:rPr>
          <w:rFonts w:ascii="Cambria" w:eastAsia="Cambria" w:hAnsi="Cambria" w:cs="Cambria"/>
          <w:lang w:val="en-US"/>
        </w:rPr>
      </w:pPr>
      <w:r w:rsidRPr="002B1FEE">
        <w:rPr>
          <w:rFonts w:ascii="Cambria" w:eastAsia="Cambria" w:hAnsi="Cambria" w:cs="Cambria"/>
          <w:lang w:val="en-US"/>
        </w:rPr>
        <w:t>Nevertheless, the empirical evidence regarding IFRS convergence remains mixed. While many studies report improvements in financial reporting quality, others highlight transitional challenges and inconsistent outcomes. For example, research examining the adoption of Indian Accounting Standards (Ind AS), which are converged with IFRS, found that financial reporting quality initially declined during the early stages of implementation. The study observed an increase in discretionary accruals and less timely recognition of losses immediately following the adoption of the new standards. However, over time, these issues gradually diminished as firms and accounting professionals gained experience with the new reporting framework. This phenomenon reflects a learning curve associated with the adoption of complex accounting standards (Adhikari et al., 2021). These findings suggest that the benefits of IFRS convergence may not be immediate and may depend on the extent to which organizations and accounting professionals adapt to the new standards.</w:t>
      </w:r>
    </w:p>
    <w:p w14:paraId="66340EA2" w14:textId="77777777" w:rsidR="002B1FEE" w:rsidRPr="002B1FEE" w:rsidRDefault="002B1FEE" w:rsidP="002B1FEE">
      <w:pPr>
        <w:pBdr>
          <w:top w:val="nil"/>
          <w:left w:val="nil"/>
          <w:bottom w:val="nil"/>
          <w:right w:val="nil"/>
          <w:between w:val="nil"/>
        </w:pBdr>
        <w:ind w:firstLine="709"/>
        <w:jc w:val="both"/>
        <w:rPr>
          <w:rFonts w:ascii="Cambria" w:eastAsia="Cambria" w:hAnsi="Cambria" w:cs="Cambria"/>
          <w:lang w:val="en-US"/>
        </w:rPr>
      </w:pPr>
      <w:r w:rsidRPr="002B1FEE">
        <w:rPr>
          <w:rFonts w:ascii="Cambria" w:eastAsia="Cambria" w:hAnsi="Cambria" w:cs="Cambria"/>
          <w:lang w:val="en-US"/>
        </w:rPr>
        <w:t>Similarly, research conducted in Portugal reveals that the adoption of IFRS has enhanced the legitimacy of financial reporting practices but has not necessarily produced substantial economic benefits in all contexts. The study indicates that the coexistence of IFRS with a traditional code-law legal system may limit the effectiveness of accounting harmonization reforms. In such environments, firms may formally adopt international accounting standards without fully changing their underlying reporting practices, leading to a phenomenon known as institutional decoupling (Silva et al., 2023). These findings illustrate the complex relationship between global accounting standards and national institutional structures, emphasizing that accounting harmonization alone cannot guarantee improvements in financial reporting quality.</w:t>
      </w:r>
    </w:p>
    <w:p w14:paraId="76223A5C" w14:textId="77777777" w:rsidR="002B1FEE" w:rsidRPr="002B1FEE" w:rsidRDefault="002B1FEE" w:rsidP="002B1FEE">
      <w:pPr>
        <w:pBdr>
          <w:top w:val="nil"/>
          <w:left w:val="nil"/>
          <w:bottom w:val="nil"/>
          <w:right w:val="nil"/>
          <w:between w:val="nil"/>
        </w:pBdr>
        <w:ind w:firstLine="709"/>
        <w:jc w:val="both"/>
        <w:rPr>
          <w:rFonts w:ascii="Cambria" w:eastAsia="Cambria" w:hAnsi="Cambria" w:cs="Cambria"/>
          <w:lang w:val="en-US"/>
        </w:rPr>
      </w:pPr>
      <w:r w:rsidRPr="002B1FEE">
        <w:rPr>
          <w:rFonts w:ascii="Cambria" w:eastAsia="Cambria" w:hAnsi="Cambria" w:cs="Cambria"/>
          <w:lang w:val="en-US"/>
        </w:rPr>
        <w:t xml:space="preserve">The mixed empirical findings regarding IFRS convergence highlight the need for further research to better understand its broader implications. Bibliometric analyses indicate that much of the existing literature on IFRS focuses on technical aspects of financial reporting, such as earnings management, disclosure quality, and value relevance. While these studies provide valuable insights into the effects of accounting standards on financial reporting outcomes, they often overlook the behavioral responses of key stakeholders involved in the financial reporting process. The perspectives and actions of preparers, auditors, investors, and regulators play an important role in shaping </w:t>
      </w:r>
      <w:r w:rsidRPr="002B1FEE">
        <w:rPr>
          <w:rFonts w:ascii="Cambria" w:eastAsia="Cambria" w:hAnsi="Cambria" w:cs="Cambria"/>
          <w:lang w:val="en-US"/>
        </w:rPr>
        <w:lastRenderedPageBreak/>
        <w:t>how accounting standards are interpreted and applied in practice. However, relatively few studies have examined these behavioral dimensions of accounting convergence (Bathla et al., 2023).</w:t>
      </w:r>
    </w:p>
    <w:p w14:paraId="1A25CFA3" w14:textId="77777777" w:rsidR="002B1FEE" w:rsidRPr="002B1FEE" w:rsidRDefault="002B1FEE" w:rsidP="002B1FEE">
      <w:pPr>
        <w:pBdr>
          <w:top w:val="nil"/>
          <w:left w:val="nil"/>
          <w:bottom w:val="nil"/>
          <w:right w:val="nil"/>
          <w:between w:val="nil"/>
        </w:pBdr>
        <w:ind w:firstLine="709"/>
        <w:jc w:val="both"/>
        <w:rPr>
          <w:rFonts w:ascii="Cambria" w:eastAsia="Cambria" w:hAnsi="Cambria" w:cs="Cambria"/>
          <w:lang w:val="en-US"/>
        </w:rPr>
      </w:pPr>
      <w:r w:rsidRPr="002B1FEE">
        <w:rPr>
          <w:rFonts w:ascii="Cambria" w:eastAsia="Cambria" w:hAnsi="Cambria" w:cs="Cambria"/>
          <w:lang w:val="en-US"/>
        </w:rPr>
        <w:t>In addition, systematic reviews of research on IFRS-converged accounting systems have identified several important gaps in the literature. For instance, relatively limited attention has been given to the ethical implications of financial reporting under IFRS, including issues related to reporting integrity and transparency. The increasing complexity of IFRS-based financial statements has also raised concerns regarding the readability and accessibility of financial disclosures for investors and other stakeholders. However, these issues remain underexplored in the accounting literature. Furthermore, the costs associated with implementing IFRS, particularly for smaller firms, have not been thoroughly examined in many studies (N. et al., 2024). Understanding these aspects is essential for evaluating the broader impact of accounting harmonization reforms.</w:t>
      </w:r>
    </w:p>
    <w:p w14:paraId="379B6F91" w14:textId="77777777" w:rsidR="002B1FEE" w:rsidRPr="002B1FEE" w:rsidRDefault="002B1FEE" w:rsidP="002B1FEE">
      <w:pPr>
        <w:pBdr>
          <w:top w:val="nil"/>
          <w:left w:val="nil"/>
          <w:bottom w:val="nil"/>
          <w:right w:val="nil"/>
          <w:between w:val="nil"/>
        </w:pBdr>
        <w:ind w:firstLine="709"/>
        <w:jc w:val="both"/>
        <w:rPr>
          <w:rFonts w:ascii="Cambria" w:eastAsia="Cambria" w:hAnsi="Cambria" w:cs="Cambria"/>
          <w:lang w:val="en-US"/>
        </w:rPr>
      </w:pPr>
      <w:r w:rsidRPr="002B1FEE">
        <w:rPr>
          <w:rFonts w:ascii="Cambria" w:eastAsia="Cambria" w:hAnsi="Cambria" w:cs="Cambria"/>
          <w:lang w:val="en-US"/>
        </w:rPr>
        <w:t>Another significant research gap concerns the long-term economic consequences of IFRS convergence. While many studies focus on the immediate effects of IFRS adoption, relatively few investigations examine how international accounting standards influence long-term corporate outcomes such as firm performance, cost of capital, and sustainability reporting practices. Scholars emphasize the need for more comprehensive research that considers the broader economic implications of accounting convergence across different institutional contexts (Himanshu &amp; Baker, 2025; N. et al., 2024; Rizvi, 2024). Such research would provide valuable insights into how accounting harmonization contributes to sustainable corporate governance and long-term economic development.</w:t>
      </w:r>
    </w:p>
    <w:p w14:paraId="6113CEDD" w14:textId="77777777" w:rsidR="002B1FEE" w:rsidRPr="002B1FEE" w:rsidRDefault="002B1FEE" w:rsidP="002B1FEE">
      <w:pPr>
        <w:pBdr>
          <w:top w:val="nil"/>
          <w:left w:val="nil"/>
          <w:bottom w:val="nil"/>
          <w:right w:val="nil"/>
          <w:between w:val="nil"/>
        </w:pBdr>
        <w:ind w:firstLine="709"/>
        <w:jc w:val="both"/>
        <w:rPr>
          <w:rFonts w:ascii="Cambria" w:eastAsia="Cambria" w:hAnsi="Cambria" w:cs="Cambria"/>
          <w:lang w:val="en-US"/>
        </w:rPr>
      </w:pPr>
      <w:r w:rsidRPr="002B1FEE">
        <w:rPr>
          <w:rFonts w:ascii="Cambria" w:eastAsia="Cambria" w:hAnsi="Cambria" w:cs="Cambria"/>
          <w:lang w:val="en-US"/>
        </w:rPr>
        <w:t>Finally, the literature also highlights the importance of examining IFRS implementation in specific sectors and organizational contexts that may face unique challenges. Small and medium-sized enterprises, for example, often lack the financial resources and technical expertise required to adopt complex accounting standards. Similarly, specialized financial sectors such as Islamic banking may require adaptations to IFRS to ensure compatibility with Sharia-based financial principles. Studies emphasize the need for further research on IFRS for SMEs and sector-specific accounting frameworks in order to better understand how international standards can be effectively implemented across diverse economic environments (</w:t>
      </w:r>
      <w:proofErr w:type="spellStart"/>
      <w:r w:rsidRPr="002B1FEE">
        <w:rPr>
          <w:rFonts w:ascii="Cambria" w:eastAsia="Cambria" w:hAnsi="Cambria" w:cs="Cambria"/>
          <w:lang w:val="en-US"/>
        </w:rPr>
        <w:t>Syahrani</w:t>
      </w:r>
      <w:proofErr w:type="spellEnd"/>
      <w:r w:rsidRPr="002B1FEE">
        <w:rPr>
          <w:rFonts w:ascii="Cambria" w:eastAsia="Cambria" w:hAnsi="Cambria" w:cs="Cambria"/>
          <w:lang w:val="en-US"/>
        </w:rPr>
        <w:t xml:space="preserve"> et al., 2025; Gök, 2024; </w:t>
      </w:r>
      <w:proofErr w:type="spellStart"/>
      <w:r w:rsidRPr="002B1FEE">
        <w:rPr>
          <w:rFonts w:ascii="Cambria" w:eastAsia="Cambria" w:hAnsi="Cambria" w:cs="Cambria"/>
          <w:lang w:val="en-US"/>
        </w:rPr>
        <w:t>Šuvakov</w:t>
      </w:r>
      <w:proofErr w:type="spellEnd"/>
      <w:r w:rsidRPr="002B1FEE">
        <w:rPr>
          <w:rFonts w:ascii="Cambria" w:eastAsia="Cambria" w:hAnsi="Cambria" w:cs="Cambria"/>
          <w:lang w:val="en-US"/>
        </w:rPr>
        <w:t xml:space="preserve"> &amp; Sekicki, 2025; Sujana &amp; </w:t>
      </w:r>
      <w:proofErr w:type="spellStart"/>
      <w:r w:rsidRPr="002B1FEE">
        <w:rPr>
          <w:rFonts w:ascii="Cambria" w:eastAsia="Cambria" w:hAnsi="Cambria" w:cs="Cambria"/>
          <w:lang w:val="en-US"/>
        </w:rPr>
        <w:t>Mukhlisin</w:t>
      </w:r>
      <w:proofErr w:type="spellEnd"/>
      <w:r w:rsidRPr="002B1FEE">
        <w:rPr>
          <w:rFonts w:ascii="Cambria" w:eastAsia="Cambria" w:hAnsi="Cambria" w:cs="Cambria"/>
          <w:lang w:val="en-US"/>
        </w:rPr>
        <w:t>, 2025).</w:t>
      </w:r>
    </w:p>
    <w:p w14:paraId="4FF3CF2C" w14:textId="77777777" w:rsidR="00C87D99" w:rsidRPr="00C87D99" w:rsidRDefault="002B1FEE" w:rsidP="002B1FEE">
      <w:pPr>
        <w:pBdr>
          <w:top w:val="nil"/>
          <w:left w:val="nil"/>
          <w:bottom w:val="nil"/>
          <w:right w:val="nil"/>
          <w:between w:val="nil"/>
        </w:pBdr>
        <w:ind w:firstLine="709"/>
        <w:jc w:val="both"/>
        <w:rPr>
          <w:rFonts w:ascii="Cambria" w:eastAsia="Cambria" w:hAnsi="Cambria" w:cs="Cambria"/>
          <w:lang w:val="en-US"/>
        </w:rPr>
      </w:pPr>
      <w:r w:rsidRPr="002B1FEE">
        <w:rPr>
          <w:rFonts w:ascii="Cambria" w:eastAsia="Cambria" w:hAnsi="Cambria" w:cs="Cambria"/>
          <w:lang w:val="en-US"/>
        </w:rPr>
        <w:t>Overall, the discussion demonstrates that IFRS convergence represents a significant institutional response to the challenges of globalization and financial market integration. While the adoption of international accounting standards has the potential to improve financial reporting quality by enhancing transparency, comparability, and accountability, its impact is not uniform across countries. Institutional factors, regulatory enforcement, organizational capabilities, and professional expertise all influence how IFRS is implemented and how effectively it improves financial reporting practices. These findings support the objective of this study by demonstrating that although IFRS convergence contributes to improvements in financial reporting quality, its effectiveness depends on broader institutional and contextual factors, and several important research gaps remain that require further scholarly investigation.</w:t>
      </w:r>
    </w:p>
    <w:p w14:paraId="575FB17C" w14:textId="77777777" w:rsidR="00C87D99" w:rsidRDefault="00C87D99" w:rsidP="00C87D99">
      <w:pPr>
        <w:pBdr>
          <w:top w:val="nil"/>
          <w:left w:val="nil"/>
          <w:bottom w:val="nil"/>
          <w:right w:val="nil"/>
          <w:between w:val="nil"/>
        </w:pBdr>
        <w:jc w:val="both"/>
        <w:rPr>
          <w:rFonts w:ascii="Cambria" w:eastAsia="Cambria" w:hAnsi="Cambria" w:cs="Cambria"/>
          <w:i/>
          <w:color w:val="000000"/>
        </w:rPr>
      </w:pPr>
    </w:p>
    <w:p w14:paraId="0D28CE79" w14:textId="77777777" w:rsidR="004069F7" w:rsidRDefault="00E008BF">
      <w:pPr>
        <w:pBdr>
          <w:top w:val="nil"/>
          <w:left w:val="nil"/>
          <w:bottom w:val="nil"/>
          <w:right w:val="nil"/>
          <w:between w:val="nil"/>
        </w:pBdr>
        <w:jc w:val="both"/>
        <w:rPr>
          <w:rFonts w:ascii="Cambria" w:eastAsia="Cambria" w:hAnsi="Cambria" w:cs="Cambria"/>
          <w:b/>
        </w:rPr>
      </w:pPr>
      <w:r>
        <w:rPr>
          <w:rFonts w:ascii="Cambria" w:eastAsia="Cambria" w:hAnsi="Cambria" w:cs="Cambria"/>
          <w:b/>
        </w:rPr>
        <w:t xml:space="preserve">CONCLUSIONS </w:t>
      </w:r>
    </w:p>
    <w:p w14:paraId="7185A510" w14:textId="77777777" w:rsidR="00FB08E9" w:rsidRPr="002B1FEE" w:rsidRDefault="002B1FEE" w:rsidP="002B1FEE">
      <w:pPr>
        <w:pBdr>
          <w:top w:val="nil"/>
          <w:left w:val="nil"/>
          <w:bottom w:val="nil"/>
          <w:right w:val="nil"/>
          <w:between w:val="nil"/>
        </w:pBdr>
        <w:spacing w:after="240"/>
        <w:ind w:firstLine="720"/>
        <w:jc w:val="both"/>
        <w:rPr>
          <w:rFonts w:ascii="Cambria" w:eastAsia="Cambria" w:hAnsi="Cambria" w:cs="Cambria"/>
          <w:lang w:val="en-US"/>
        </w:rPr>
      </w:pPr>
      <w:r w:rsidRPr="002B1FEE">
        <w:rPr>
          <w:rFonts w:ascii="Cambria" w:eastAsia="Cambria" w:hAnsi="Cambria" w:cs="Cambria"/>
        </w:rPr>
        <w:t xml:space="preserve">The findings of this study show that the convergence of International Financial Reporting Standards (IFRS) is an important response to the globalization of financial markets and the need for harmonized financial reporting practices. IFRS adoption generally improves the quality of financial reporting by increasing transparency, </w:t>
      </w:r>
      <w:r w:rsidRPr="002B1FEE">
        <w:rPr>
          <w:rFonts w:ascii="Cambria" w:eastAsia="Cambria" w:hAnsi="Cambria" w:cs="Cambria"/>
        </w:rPr>
        <w:lastRenderedPageBreak/>
        <w:t>comparability, and the relevance of accounting information, while also reducing earnings management and information asymmetry in capital markets. However, the impact of IFRS convergence is not uniform across countries because its effectiveness depends on institutional factors such as regulatory enforcement, corporate governance, and the capacity of accounting professionals. In some contexts, especially in developing countries and smaller firms, the implementation of IFRS may initially create challenges such as higher reporting complexity and compliance costs. Therefore, although IFRS convergence has the potential to enhance financial reporting quality and support global financial integration, its success depends on the institutional readiness of each country. These findings highlight the importance of continuous evaluation of IFRS implementation and further research on its long-term effects, stakeholder responses, and sector-specific applications.</w:t>
      </w:r>
    </w:p>
    <w:p w14:paraId="2F1A3DFD" w14:textId="77777777" w:rsidR="004069F7" w:rsidRDefault="00E008BF" w:rsidP="00FB08E9">
      <w:pPr>
        <w:pBdr>
          <w:top w:val="nil"/>
          <w:left w:val="nil"/>
          <w:bottom w:val="nil"/>
          <w:right w:val="nil"/>
          <w:between w:val="nil"/>
        </w:pBdr>
        <w:spacing w:after="240"/>
        <w:jc w:val="both"/>
        <w:rPr>
          <w:rFonts w:ascii="Cambria" w:eastAsia="Cambria" w:hAnsi="Cambria" w:cs="Cambria"/>
          <w:b/>
        </w:rPr>
      </w:pPr>
      <w:r>
        <w:rPr>
          <w:rFonts w:ascii="Cambria" w:eastAsia="Cambria" w:hAnsi="Cambria" w:cs="Cambria"/>
          <w:b/>
        </w:rPr>
        <w:t>REFERENCE</w:t>
      </w:r>
    </w:p>
    <w:p w14:paraId="1CC8F166" w14:textId="77777777" w:rsidR="002B1FEE" w:rsidRPr="002B1FEE" w:rsidRDefault="002B1FEE" w:rsidP="00A431BD">
      <w:pPr>
        <w:pStyle w:val="NormalWeb"/>
        <w:spacing w:before="0" w:beforeAutospacing="0" w:after="0" w:afterAutospacing="0"/>
        <w:ind w:left="720" w:hanging="654"/>
        <w:jc w:val="both"/>
        <w:rPr>
          <w:rFonts w:ascii="Cambria" w:hAnsi="Cambria"/>
        </w:rPr>
      </w:pPr>
      <w:bookmarkStart w:id="0" w:name="_heading=h.gjdgxs" w:colFirst="0" w:colLast="0"/>
      <w:bookmarkEnd w:id="0"/>
      <w:r w:rsidRPr="002B1FEE">
        <w:rPr>
          <w:rFonts w:ascii="Cambria" w:hAnsi="Cambria"/>
        </w:rPr>
        <w:t xml:space="preserve">Adhikari, A., Bansal, M., &amp; Kumar, A. (2021). IFRS convergence and accounting quality: India a case study. </w:t>
      </w:r>
      <w:r w:rsidRPr="002B1FEE">
        <w:rPr>
          <w:rStyle w:val="Emphasis"/>
          <w:rFonts w:ascii="Cambria" w:hAnsi="Cambria"/>
        </w:rPr>
        <w:t>Journal of International Accounting, Auditing and Taxation.</w:t>
      </w:r>
      <w:r w:rsidRPr="002B1FEE">
        <w:rPr>
          <w:rFonts w:ascii="Cambria" w:hAnsi="Cambria"/>
        </w:rPr>
        <w:t xml:space="preserve"> </w:t>
      </w:r>
      <w:hyperlink r:id="rId9" w:tgtFrame="_new" w:history="1">
        <w:r w:rsidRPr="002B1FEE">
          <w:rPr>
            <w:rStyle w:val="Hyperlink"/>
            <w:rFonts w:ascii="Cambria" w:hAnsi="Cambria"/>
          </w:rPr>
          <w:t>https://doi.org/10.1016/j.intaccaudtax.2021.100430</w:t>
        </w:r>
      </w:hyperlink>
    </w:p>
    <w:p w14:paraId="63E18B67" w14:textId="77777777" w:rsidR="002B1FEE" w:rsidRPr="002B1FEE" w:rsidRDefault="002B1FEE" w:rsidP="00A431BD">
      <w:pPr>
        <w:pStyle w:val="NormalWeb"/>
        <w:spacing w:before="0" w:beforeAutospacing="0" w:after="0" w:afterAutospacing="0"/>
        <w:ind w:left="720" w:hanging="654"/>
        <w:jc w:val="both"/>
        <w:rPr>
          <w:rFonts w:ascii="Cambria" w:hAnsi="Cambria"/>
        </w:rPr>
      </w:pPr>
      <w:r w:rsidRPr="002B1FEE">
        <w:rPr>
          <w:rFonts w:ascii="Cambria" w:hAnsi="Cambria"/>
        </w:rPr>
        <w:t xml:space="preserve">Bathla, S., Sharma, A., &amp; </w:t>
      </w:r>
      <w:proofErr w:type="spellStart"/>
      <w:r w:rsidRPr="002B1FEE">
        <w:rPr>
          <w:rFonts w:ascii="Cambria" w:hAnsi="Cambria"/>
        </w:rPr>
        <w:t>Kandpal</w:t>
      </w:r>
      <w:proofErr w:type="spellEnd"/>
      <w:r w:rsidRPr="002B1FEE">
        <w:rPr>
          <w:rFonts w:ascii="Cambria" w:hAnsi="Cambria"/>
        </w:rPr>
        <w:t xml:space="preserve">, V. (2023). Stakeholders’ response to IFRS adoption/convergence on accounting quality and disclosures: A bibliometric review of Scopus database. </w:t>
      </w:r>
      <w:proofErr w:type="spellStart"/>
      <w:r w:rsidRPr="002B1FEE">
        <w:rPr>
          <w:rStyle w:val="Emphasis"/>
          <w:rFonts w:ascii="Cambria" w:hAnsi="Cambria"/>
        </w:rPr>
        <w:t>Heliyon</w:t>
      </w:r>
      <w:proofErr w:type="spellEnd"/>
      <w:r w:rsidRPr="002B1FEE">
        <w:rPr>
          <w:rStyle w:val="Emphasis"/>
          <w:rFonts w:ascii="Cambria" w:hAnsi="Cambria"/>
        </w:rPr>
        <w:t>.</w:t>
      </w:r>
      <w:r w:rsidRPr="002B1FEE">
        <w:rPr>
          <w:rFonts w:ascii="Cambria" w:hAnsi="Cambria"/>
        </w:rPr>
        <w:t xml:space="preserve"> </w:t>
      </w:r>
      <w:hyperlink r:id="rId10" w:tgtFrame="_new" w:history="1">
        <w:r w:rsidRPr="002B1FEE">
          <w:rPr>
            <w:rStyle w:val="Hyperlink"/>
            <w:rFonts w:ascii="Cambria" w:hAnsi="Cambria"/>
          </w:rPr>
          <w:t>https://doi.org/10.1016/j.heliyon.2023.e23912</w:t>
        </w:r>
      </w:hyperlink>
    </w:p>
    <w:p w14:paraId="5EADD4D8" w14:textId="77777777" w:rsidR="002B1FEE" w:rsidRPr="002B1FEE" w:rsidRDefault="002B1FEE" w:rsidP="00A431BD">
      <w:pPr>
        <w:pStyle w:val="NormalWeb"/>
        <w:spacing w:before="0" w:beforeAutospacing="0" w:after="0" w:afterAutospacing="0"/>
        <w:ind w:left="720" w:hanging="654"/>
        <w:jc w:val="both"/>
        <w:rPr>
          <w:rFonts w:ascii="Cambria" w:hAnsi="Cambria"/>
        </w:rPr>
      </w:pPr>
      <w:proofErr w:type="spellStart"/>
      <w:r w:rsidRPr="002B1FEE">
        <w:rPr>
          <w:rFonts w:ascii="Cambria" w:hAnsi="Cambria"/>
        </w:rPr>
        <w:t>Cărea</w:t>
      </w:r>
      <w:proofErr w:type="spellEnd"/>
      <w:r w:rsidRPr="002B1FEE">
        <w:rPr>
          <w:rFonts w:ascii="Cambria" w:hAnsi="Cambria"/>
        </w:rPr>
        <w:t xml:space="preserve">, A., &amp; </w:t>
      </w:r>
      <w:proofErr w:type="spellStart"/>
      <w:r w:rsidRPr="002B1FEE">
        <w:rPr>
          <w:rFonts w:ascii="Cambria" w:hAnsi="Cambria"/>
        </w:rPr>
        <w:t>Mișu</w:t>
      </w:r>
      <w:proofErr w:type="spellEnd"/>
      <w:r w:rsidRPr="002B1FEE">
        <w:rPr>
          <w:rFonts w:ascii="Cambria" w:hAnsi="Cambria"/>
        </w:rPr>
        <w:t xml:space="preserve">, S. (2025). The relevance of accounting information on the Romanian capital market in the era of artificial intelligence: Transformations and opportunities. </w:t>
      </w:r>
      <w:r w:rsidRPr="002B1FEE">
        <w:rPr>
          <w:rStyle w:val="Emphasis"/>
          <w:rFonts w:ascii="Cambria" w:hAnsi="Cambria"/>
        </w:rPr>
        <w:t>Proceedings of the International Management Conference.</w:t>
      </w:r>
      <w:r w:rsidRPr="002B1FEE">
        <w:rPr>
          <w:rFonts w:ascii="Cambria" w:hAnsi="Cambria"/>
        </w:rPr>
        <w:t xml:space="preserve"> </w:t>
      </w:r>
      <w:hyperlink r:id="rId11" w:tgtFrame="_new" w:history="1">
        <w:r w:rsidRPr="002B1FEE">
          <w:rPr>
            <w:rStyle w:val="Hyperlink"/>
            <w:rFonts w:ascii="Cambria" w:hAnsi="Cambria"/>
          </w:rPr>
          <w:t>https://doi.org/10.24818/imc/2024/03.02</w:t>
        </w:r>
      </w:hyperlink>
    </w:p>
    <w:p w14:paraId="4DCB47EC" w14:textId="77777777" w:rsidR="002B1FEE" w:rsidRPr="002B1FEE" w:rsidRDefault="002B1FEE" w:rsidP="00A431BD">
      <w:pPr>
        <w:pStyle w:val="NormalWeb"/>
        <w:spacing w:before="0" w:beforeAutospacing="0" w:after="0" w:afterAutospacing="0"/>
        <w:ind w:left="720" w:hanging="654"/>
        <w:jc w:val="both"/>
        <w:rPr>
          <w:rFonts w:ascii="Cambria" w:hAnsi="Cambria"/>
        </w:rPr>
      </w:pPr>
      <w:r w:rsidRPr="002B1FEE">
        <w:rPr>
          <w:rFonts w:ascii="Cambria" w:hAnsi="Cambria"/>
        </w:rPr>
        <w:t xml:space="preserve">Gök, G. (2024). International financial reporting standards convergence process for small and medium-sized entities. </w:t>
      </w:r>
      <w:r w:rsidRPr="002B1FEE">
        <w:rPr>
          <w:rStyle w:val="Emphasis"/>
          <w:rFonts w:ascii="Cambria" w:hAnsi="Cambria"/>
        </w:rPr>
        <w:t>International Journal of Engineering and Management Sciences.</w:t>
      </w:r>
      <w:r w:rsidRPr="002B1FEE">
        <w:rPr>
          <w:rFonts w:ascii="Cambria" w:hAnsi="Cambria"/>
        </w:rPr>
        <w:t xml:space="preserve"> </w:t>
      </w:r>
      <w:hyperlink r:id="rId12" w:tgtFrame="_new" w:history="1">
        <w:r w:rsidRPr="002B1FEE">
          <w:rPr>
            <w:rStyle w:val="Hyperlink"/>
            <w:rFonts w:ascii="Cambria" w:hAnsi="Cambria"/>
          </w:rPr>
          <w:t>https://doi.org/10.21791/ijems.2024.004</w:t>
        </w:r>
      </w:hyperlink>
    </w:p>
    <w:p w14:paraId="0A930054" w14:textId="77777777" w:rsidR="002B1FEE" w:rsidRPr="002B1FEE" w:rsidRDefault="002B1FEE" w:rsidP="00A431BD">
      <w:pPr>
        <w:pStyle w:val="NormalWeb"/>
        <w:spacing w:before="0" w:beforeAutospacing="0" w:after="0" w:afterAutospacing="0"/>
        <w:ind w:left="720" w:hanging="654"/>
        <w:jc w:val="both"/>
        <w:rPr>
          <w:rFonts w:ascii="Cambria" w:hAnsi="Cambria"/>
        </w:rPr>
      </w:pPr>
      <w:proofErr w:type="spellStart"/>
      <w:r w:rsidRPr="002B1FEE">
        <w:rPr>
          <w:rFonts w:ascii="Cambria" w:hAnsi="Cambria"/>
        </w:rPr>
        <w:t>Hehanussa</w:t>
      </w:r>
      <w:proofErr w:type="spellEnd"/>
      <w:r w:rsidRPr="002B1FEE">
        <w:rPr>
          <w:rFonts w:ascii="Cambria" w:hAnsi="Cambria"/>
        </w:rPr>
        <w:t xml:space="preserve">, S. (2025). The evolution of financial reporting standards: Impacts on transparency and accountability in corporate governance. </w:t>
      </w:r>
      <w:r w:rsidRPr="002B1FEE">
        <w:rPr>
          <w:rStyle w:val="Emphasis"/>
          <w:rFonts w:ascii="Cambria" w:hAnsi="Cambria"/>
        </w:rPr>
        <w:t>International Journal of Accounting and Economics Studies.</w:t>
      </w:r>
      <w:r w:rsidRPr="002B1FEE">
        <w:rPr>
          <w:rFonts w:ascii="Cambria" w:hAnsi="Cambria"/>
        </w:rPr>
        <w:t xml:space="preserve"> </w:t>
      </w:r>
      <w:hyperlink r:id="rId13" w:tgtFrame="_new" w:history="1">
        <w:r w:rsidRPr="002B1FEE">
          <w:rPr>
            <w:rStyle w:val="Hyperlink"/>
            <w:rFonts w:ascii="Cambria" w:hAnsi="Cambria"/>
          </w:rPr>
          <w:t>https://doi.org/10.14419/rnqsta59</w:t>
        </w:r>
      </w:hyperlink>
    </w:p>
    <w:p w14:paraId="448056F4" w14:textId="77777777" w:rsidR="002B1FEE" w:rsidRPr="002B1FEE" w:rsidRDefault="002B1FEE" w:rsidP="00A431BD">
      <w:pPr>
        <w:pStyle w:val="NormalWeb"/>
        <w:spacing w:before="0" w:beforeAutospacing="0" w:after="0" w:afterAutospacing="0"/>
        <w:ind w:left="720" w:hanging="654"/>
        <w:jc w:val="both"/>
        <w:rPr>
          <w:rFonts w:ascii="Cambria" w:hAnsi="Cambria"/>
        </w:rPr>
      </w:pPr>
      <w:r w:rsidRPr="002B1FEE">
        <w:rPr>
          <w:rFonts w:ascii="Cambria" w:hAnsi="Cambria"/>
        </w:rPr>
        <w:t xml:space="preserve">Himanshu, H., &amp; Baker, K. (2025). The impact of contemporary accounting reform on financial reporting quality: Evidence from an emerging economy. </w:t>
      </w:r>
      <w:r w:rsidRPr="002B1FEE">
        <w:rPr>
          <w:rStyle w:val="Emphasis"/>
          <w:rFonts w:ascii="Cambria" w:hAnsi="Cambria"/>
        </w:rPr>
        <w:t>Journal of Accounting in Emerging Economies.</w:t>
      </w:r>
      <w:r w:rsidRPr="002B1FEE">
        <w:rPr>
          <w:rFonts w:ascii="Cambria" w:hAnsi="Cambria"/>
        </w:rPr>
        <w:t xml:space="preserve"> </w:t>
      </w:r>
      <w:hyperlink r:id="rId14" w:tgtFrame="_new" w:history="1">
        <w:r w:rsidRPr="002B1FEE">
          <w:rPr>
            <w:rStyle w:val="Hyperlink"/>
            <w:rFonts w:ascii="Cambria" w:hAnsi="Cambria"/>
          </w:rPr>
          <w:t>https://doi.org/10.1108/jaee-07-2024-0298</w:t>
        </w:r>
      </w:hyperlink>
    </w:p>
    <w:p w14:paraId="0A94B093" w14:textId="77777777" w:rsidR="002B1FEE" w:rsidRPr="002B1FEE" w:rsidRDefault="002B1FEE" w:rsidP="00A431BD">
      <w:pPr>
        <w:pStyle w:val="NormalWeb"/>
        <w:spacing w:before="0" w:beforeAutospacing="0" w:after="0" w:afterAutospacing="0"/>
        <w:ind w:left="720" w:hanging="654"/>
        <w:jc w:val="both"/>
        <w:rPr>
          <w:rFonts w:ascii="Cambria" w:hAnsi="Cambria"/>
        </w:rPr>
      </w:pPr>
      <w:proofErr w:type="spellStart"/>
      <w:r w:rsidRPr="002B1FEE">
        <w:rPr>
          <w:rFonts w:ascii="Cambria" w:hAnsi="Cambria"/>
        </w:rPr>
        <w:t>Holovina</w:t>
      </w:r>
      <w:proofErr w:type="spellEnd"/>
      <w:r w:rsidRPr="002B1FEE">
        <w:rPr>
          <w:rFonts w:ascii="Cambria" w:hAnsi="Cambria"/>
        </w:rPr>
        <w:t xml:space="preserve">, D., Karpenko, O., &amp; Plikus, I. (2022). International convergence of financial reporting. </w:t>
      </w:r>
      <w:hyperlink r:id="rId15" w:tgtFrame="_new" w:history="1">
        <w:r w:rsidRPr="002B1FEE">
          <w:rPr>
            <w:rStyle w:val="Hyperlink"/>
            <w:rFonts w:ascii="Cambria" w:hAnsi="Cambria"/>
          </w:rPr>
          <w:t>https://doi.org/10.26565/2524-2547-2022-63-08</w:t>
        </w:r>
      </w:hyperlink>
    </w:p>
    <w:p w14:paraId="0546BA64" w14:textId="77777777" w:rsidR="002B1FEE" w:rsidRPr="002B1FEE" w:rsidRDefault="002B1FEE" w:rsidP="00A431BD">
      <w:pPr>
        <w:pStyle w:val="NormalWeb"/>
        <w:spacing w:before="0" w:beforeAutospacing="0" w:after="0" w:afterAutospacing="0"/>
        <w:ind w:left="720" w:hanging="654"/>
        <w:jc w:val="both"/>
        <w:rPr>
          <w:rFonts w:ascii="Cambria" w:hAnsi="Cambria"/>
        </w:rPr>
      </w:pPr>
      <w:r w:rsidRPr="002B1FEE">
        <w:rPr>
          <w:rFonts w:ascii="Cambria" w:hAnsi="Cambria"/>
        </w:rPr>
        <w:t xml:space="preserve">Ilakkiya, I. (2024). The evolution of international financial reporting standards (IFRS) and its impact on global business practices. </w:t>
      </w:r>
      <w:r w:rsidRPr="002B1FEE">
        <w:rPr>
          <w:rStyle w:val="Emphasis"/>
          <w:rFonts w:ascii="Cambria" w:hAnsi="Cambria"/>
        </w:rPr>
        <w:t>IOSR Journal of Economics and Finance.</w:t>
      </w:r>
      <w:r w:rsidRPr="002B1FEE">
        <w:rPr>
          <w:rFonts w:ascii="Cambria" w:hAnsi="Cambria"/>
        </w:rPr>
        <w:t xml:space="preserve"> </w:t>
      </w:r>
      <w:hyperlink r:id="rId16" w:tgtFrame="_new" w:history="1">
        <w:r w:rsidRPr="002B1FEE">
          <w:rPr>
            <w:rStyle w:val="Hyperlink"/>
            <w:rFonts w:ascii="Cambria" w:hAnsi="Cambria"/>
          </w:rPr>
          <w:t>https://doi.org/10.9790/5933-1505035968</w:t>
        </w:r>
      </w:hyperlink>
    </w:p>
    <w:p w14:paraId="056950A5" w14:textId="77777777" w:rsidR="002B1FEE" w:rsidRPr="002B1FEE" w:rsidRDefault="002B1FEE" w:rsidP="00A431BD">
      <w:pPr>
        <w:pStyle w:val="NormalWeb"/>
        <w:spacing w:before="0" w:beforeAutospacing="0" w:after="0" w:afterAutospacing="0"/>
        <w:ind w:left="720" w:hanging="654"/>
        <w:jc w:val="both"/>
        <w:rPr>
          <w:rFonts w:ascii="Cambria" w:hAnsi="Cambria"/>
        </w:rPr>
      </w:pPr>
      <w:proofErr w:type="spellStart"/>
      <w:r w:rsidRPr="002B1FEE">
        <w:rPr>
          <w:rFonts w:ascii="Cambria" w:hAnsi="Cambria"/>
        </w:rPr>
        <w:t>Imamova</w:t>
      </w:r>
      <w:proofErr w:type="spellEnd"/>
      <w:r w:rsidRPr="002B1FEE">
        <w:rPr>
          <w:rFonts w:ascii="Cambria" w:hAnsi="Cambria"/>
        </w:rPr>
        <w:t xml:space="preserve">, N. (2025). Integration of international financial reporting standards into the accounting system. </w:t>
      </w:r>
      <w:r w:rsidRPr="002B1FEE">
        <w:rPr>
          <w:rStyle w:val="Emphasis"/>
          <w:rFonts w:ascii="Cambria" w:hAnsi="Cambria"/>
        </w:rPr>
        <w:t>Bulletin of Science and Practice.</w:t>
      </w:r>
      <w:r w:rsidRPr="002B1FEE">
        <w:rPr>
          <w:rFonts w:ascii="Cambria" w:hAnsi="Cambria"/>
        </w:rPr>
        <w:t xml:space="preserve"> </w:t>
      </w:r>
      <w:hyperlink r:id="rId17" w:tgtFrame="_new" w:history="1">
        <w:r w:rsidRPr="002B1FEE">
          <w:rPr>
            <w:rStyle w:val="Hyperlink"/>
            <w:rFonts w:ascii="Cambria" w:hAnsi="Cambria"/>
          </w:rPr>
          <w:t>https://doi.org/10.33619/2414-2948/115/57</w:t>
        </w:r>
      </w:hyperlink>
    </w:p>
    <w:p w14:paraId="344773E7" w14:textId="77777777" w:rsidR="002B1FEE" w:rsidRPr="002B1FEE" w:rsidRDefault="002B1FEE" w:rsidP="00A431BD">
      <w:pPr>
        <w:pStyle w:val="NormalWeb"/>
        <w:spacing w:before="0" w:beforeAutospacing="0" w:after="0" w:afterAutospacing="0"/>
        <w:ind w:left="720" w:hanging="654"/>
        <w:jc w:val="both"/>
        <w:rPr>
          <w:rFonts w:ascii="Cambria" w:hAnsi="Cambria"/>
        </w:rPr>
      </w:pPr>
      <w:proofErr w:type="spellStart"/>
      <w:r w:rsidRPr="002B1FEE">
        <w:rPr>
          <w:rFonts w:ascii="Cambria" w:hAnsi="Cambria"/>
        </w:rPr>
        <w:t>Lawalata</w:t>
      </w:r>
      <w:proofErr w:type="spellEnd"/>
      <w:r w:rsidRPr="002B1FEE">
        <w:rPr>
          <w:rFonts w:ascii="Cambria" w:hAnsi="Cambria"/>
        </w:rPr>
        <w:t xml:space="preserve">, J., &amp; Salle, I. (2024). The impact of international financial reporting standards on global accounting practices. </w:t>
      </w:r>
      <w:r w:rsidRPr="002B1FEE">
        <w:rPr>
          <w:rStyle w:val="Emphasis"/>
          <w:rFonts w:ascii="Cambria" w:hAnsi="Cambria"/>
        </w:rPr>
        <w:t>Advances in Applied Accounting Research.</w:t>
      </w:r>
      <w:r w:rsidRPr="002B1FEE">
        <w:rPr>
          <w:rFonts w:ascii="Cambria" w:hAnsi="Cambria"/>
        </w:rPr>
        <w:t xml:space="preserve"> </w:t>
      </w:r>
      <w:hyperlink r:id="rId18" w:tgtFrame="_new" w:history="1">
        <w:r w:rsidRPr="002B1FEE">
          <w:rPr>
            <w:rStyle w:val="Hyperlink"/>
            <w:rFonts w:ascii="Cambria" w:hAnsi="Cambria"/>
          </w:rPr>
          <w:t>https://doi.org/10.60079/aaar.v2i2.262</w:t>
        </w:r>
      </w:hyperlink>
    </w:p>
    <w:p w14:paraId="343633F8" w14:textId="77777777" w:rsidR="002B1FEE" w:rsidRPr="002B1FEE" w:rsidRDefault="002B1FEE" w:rsidP="00A431BD">
      <w:pPr>
        <w:pStyle w:val="NormalWeb"/>
        <w:spacing w:before="0" w:beforeAutospacing="0" w:after="0" w:afterAutospacing="0"/>
        <w:ind w:left="720" w:hanging="654"/>
        <w:jc w:val="both"/>
        <w:rPr>
          <w:rFonts w:ascii="Cambria" w:hAnsi="Cambria"/>
        </w:rPr>
      </w:pPr>
      <w:r w:rsidRPr="002B1FEE">
        <w:rPr>
          <w:rFonts w:ascii="Cambria" w:hAnsi="Cambria"/>
        </w:rPr>
        <w:t xml:space="preserve">Mohan, A., &amp; Tambe, M. (2025). Harmonization of international financial reporting standards (IFRS) accounting system and application throughout the global education. </w:t>
      </w:r>
      <w:r w:rsidRPr="002B1FEE">
        <w:rPr>
          <w:rStyle w:val="Emphasis"/>
          <w:rFonts w:ascii="Cambria" w:hAnsi="Cambria"/>
        </w:rPr>
        <w:t>International Journal of Research in Commerce and Management Studies.</w:t>
      </w:r>
      <w:r w:rsidRPr="002B1FEE">
        <w:rPr>
          <w:rFonts w:ascii="Cambria" w:hAnsi="Cambria"/>
        </w:rPr>
        <w:t xml:space="preserve"> </w:t>
      </w:r>
      <w:hyperlink r:id="rId19" w:tgtFrame="_new" w:history="1">
        <w:r w:rsidRPr="002B1FEE">
          <w:rPr>
            <w:rStyle w:val="Hyperlink"/>
            <w:rFonts w:ascii="Cambria" w:hAnsi="Cambria"/>
          </w:rPr>
          <w:t>https://doi.org/10.38193/ijrcms.2025.7226</w:t>
        </w:r>
      </w:hyperlink>
    </w:p>
    <w:p w14:paraId="1E747CC6" w14:textId="77777777" w:rsidR="002B1FEE" w:rsidRPr="002B1FEE" w:rsidRDefault="002B1FEE" w:rsidP="00A431BD">
      <w:pPr>
        <w:pStyle w:val="NormalWeb"/>
        <w:spacing w:before="0" w:beforeAutospacing="0" w:after="0" w:afterAutospacing="0"/>
        <w:ind w:left="720" w:hanging="654"/>
        <w:jc w:val="both"/>
        <w:rPr>
          <w:rFonts w:ascii="Cambria" w:hAnsi="Cambria"/>
        </w:rPr>
      </w:pPr>
      <w:r w:rsidRPr="002B1FEE">
        <w:rPr>
          <w:rFonts w:ascii="Cambria" w:hAnsi="Cambria"/>
        </w:rPr>
        <w:lastRenderedPageBreak/>
        <w:t xml:space="preserve">N., N., Shenoy, S., Chakraborty, S., &amp; Abhilash, A. (2024). Unraveling the determinants and consequences of mandatory IFRS convergence in India: Insights from systematic literature review. </w:t>
      </w:r>
      <w:r w:rsidRPr="002B1FEE">
        <w:rPr>
          <w:rStyle w:val="Emphasis"/>
          <w:rFonts w:ascii="Cambria" w:hAnsi="Cambria"/>
        </w:rPr>
        <w:t>Cogent Business &amp; Management.</w:t>
      </w:r>
      <w:r w:rsidRPr="002B1FEE">
        <w:rPr>
          <w:rFonts w:ascii="Cambria" w:hAnsi="Cambria"/>
        </w:rPr>
        <w:t xml:space="preserve"> </w:t>
      </w:r>
      <w:hyperlink r:id="rId20" w:tgtFrame="_new" w:history="1">
        <w:r w:rsidRPr="002B1FEE">
          <w:rPr>
            <w:rStyle w:val="Hyperlink"/>
            <w:rFonts w:ascii="Cambria" w:hAnsi="Cambria"/>
          </w:rPr>
          <w:t>https://doi.org/10.1080/23311975.2024.2411446</w:t>
        </w:r>
      </w:hyperlink>
    </w:p>
    <w:p w14:paraId="75E37CF0" w14:textId="77777777" w:rsidR="002B1FEE" w:rsidRPr="002B1FEE" w:rsidRDefault="002B1FEE" w:rsidP="00A431BD">
      <w:pPr>
        <w:pStyle w:val="NormalWeb"/>
        <w:spacing w:before="0" w:beforeAutospacing="0" w:after="0" w:afterAutospacing="0"/>
        <w:ind w:left="720" w:hanging="654"/>
        <w:jc w:val="both"/>
        <w:rPr>
          <w:rFonts w:ascii="Cambria" w:hAnsi="Cambria"/>
        </w:rPr>
      </w:pPr>
      <w:r w:rsidRPr="002B1FEE">
        <w:rPr>
          <w:rFonts w:ascii="Cambria" w:hAnsi="Cambria"/>
        </w:rPr>
        <w:t xml:space="preserve">Rizvi, F. (2024). International financial reporting standards &amp; its convergence in India. </w:t>
      </w:r>
      <w:r w:rsidRPr="002B1FEE">
        <w:rPr>
          <w:rStyle w:val="Emphasis"/>
          <w:rFonts w:ascii="Cambria" w:hAnsi="Cambria"/>
        </w:rPr>
        <w:t>International Journal of Scientific Research in Engineering and Management.</w:t>
      </w:r>
      <w:r w:rsidRPr="002B1FEE">
        <w:rPr>
          <w:rFonts w:ascii="Cambria" w:hAnsi="Cambria"/>
        </w:rPr>
        <w:t xml:space="preserve"> </w:t>
      </w:r>
      <w:hyperlink r:id="rId21" w:tgtFrame="_new" w:history="1">
        <w:r w:rsidRPr="002B1FEE">
          <w:rPr>
            <w:rStyle w:val="Hyperlink"/>
            <w:rFonts w:ascii="Cambria" w:hAnsi="Cambria"/>
          </w:rPr>
          <w:t>https://doi.org/10.55041/ijsrem35005</w:t>
        </w:r>
      </w:hyperlink>
    </w:p>
    <w:p w14:paraId="333CE831" w14:textId="77777777" w:rsidR="002B1FEE" w:rsidRPr="002B1FEE" w:rsidRDefault="002B1FEE" w:rsidP="00A431BD">
      <w:pPr>
        <w:pStyle w:val="NormalWeb"/>
        <w:spacing w:before="0" w:beforeAutospacing="0" w:after="0" w:afterAutospacing="0"/>
        <w:ind w:left="720" w:hanging="654"/>
        <w:jc w:val="both"/>
        <w:rPr>
          <w:rFonts w:ascii="Cambria" w:hAnsi="Cambria"/>
        </w:rPr>
      </w:pPr>
      <w:proofErr w:type="spellStart"/>
      <w:r w:rsidRPr="002B1FEE">
        <w:rPr>
          <w:rFonts w:ascii="Cambria" w:hAnsi="Cambria"/>
        </w:rPr>
        <w:t>Rouvolis</w:t>
      </w:r>
      <w:proofErr w:type="spellEnd"/>
      <w:r w:rsidRPr="002B1FEE">
        <w:rPr>
          <w:rFonts w:ascii="Cambria" w:hAnsi="Cambria"/>
        </w:rPr>
        <w:t xml:space="preserve">, S. (2022). International financial reporting standards (IFRS): Exploring financial evidence from listed companies in the US. </w:t>
      </w:r>
      <w:r w:rsidRPr="002B1FEE">
        <w:rPr>
          <w:rStyle w:val="Emphasis"/>
          <w:rFonts w:ascii="Cambria" w:hAnsi="Cambria"/>
        </w:rPr>
        <w:t>Open Journal of Accounting.</w:t>
      </w:r>
      <w:r w:rsidRPr="002B1FEE">
        <w:rPr>
          <w:rFonts w:ascii="Cambria" w:hAnsi="Cambria"/>
        </w:rPr>
        <w:t xml:space="preserve"> </w:t>
      </w:r>
      <w:hyperlink r:id="rId22" w:tgtFrame="_new" w:history="1">
        <w:r w:rsidRPr="002B1FEE">
          <w:rPr>
            <w:rStyle w:val="Hyperlink"/>
            <w:rFonts w:ascii="Cambria" w:hAnsi="Cambria"/>
          </w:rPr>
          <w:t>https://doi.org/10.4236/ojacct.2022.104014</w:t>
        </w:r>
      </w:hyperlink>
    </w:p>
    <w:p w14:paraId="42A473F2" w14:textId="77777777" w:rsidR="002B1FEE" w:rsidRPr="002B1FEE" w:rsidRDefault="002B1FEE" w:rsidP="00A431BD">
      <w:pPr>
        <w:pStyle w:val="NormalWeb"/>
        <w:spacing w:before="0" w:beforeAutospacing="0" w:after="0" w:afterAutospacing="0"/>
        <w:ind w:left="720" w:hanging="654"/>
        <w:jc w:val="both"/>
        <w:rPr>
          <w:rFonts w:ascii="Cambria" w:hAnsi="Cambria"/>
        </w:rPr>
      </w:pPr>
      <w:r w:rsidRPr="002B1FEE">
        <w:rPr>
          <w:rFonts w:ascii="Cambria" w:hAnsi="Cambria"/>
        </w:rPr>
        <w:t xml:space="preserve">Sánchez-Caguana, D. (2023). </w:t>
      </w:r>
      <w:proofErr w:type="spellStart"/>
      <w:r w:rsidRPr="002B1FEE">
        <w:rPr>
          <w:rFonts w:ascii="Cambria" w:hAnsi="Cambria"/>
        </w:rPr>
        <w:t>Tendencias</w:t>
      </w:r>
      <w:proofErr w:type="spellEnd"/>
      <w:r w:rsidRPr="002B1FEE">
        <w:rPr>
          <w:rFonts w:ascii="Cambria" w:hAnsi="Cambria"/>
        </w:rPr>
        <w:t xml:space="preserve"> y </w:t>
      </w:r>
      <w:proofErr w:type="spellStart"/>
      <w:r w:rsidRPr="002B1FEE">
        <w:rPr>
          <w:rFonts w:ascii="Cambria" w:hAnsi="Cambria"/>
        </w:rPr>
        <w:t>retos</w:t>
      </w:r>
      <w:proofErr w:type="spellEnd"/>
      <w:r w:rsidRPr="002B1FEE">
        <w:rPr>
          <w:rFonts w:ascii="Cambria" w:hAnsi="Cambria"/>
        </w:rPr>
        <w:t xml:space="preserve"> </w:t>
      </w:r>
      <w:proofErr w:type="spellStart"/>
      <w:r w:rsidRPr="002B1FEE">
        <w:rPr>
          <w:rFonts w:ascii="Cambria" w:hAnsi="Cambria"/>
        </w:rPr>
        <w:t>en</w:t>
      </w:r>
      <w:proofErr w:type="spellEnd"/>
      <w:r w:rsidRPr="002B1FEE">
        <w:rPr>
          <w:rFonts w:ascii="Cambria" w:hAnsi="Cambria"/>
        </w:rPr>
        <w:t xml:space="preserve"> la </w:t>
      </w:r>
      <w:proofErr w:type="spellStart"/>
      <w:r w:rsidRPr="002B1FEE">
        <w:rPr>
          <w:rFonts w:ascii="Cambria" w:hAnsi="Cambria"/>
        </w:rPr>
        <w:t>aplicación</w:t>
      </w:r>
      <w:proofErr w:type="spellEnd"/>
      <w:r w:rsidRPr="002B1FEE">
        <w:rPr>
          <w:rFonts w:ascii="Cambria" w:hAnsi="Cambria"/>
        </w:rPr>
        <w:t xml:space="preserve"> de las </w:t>
      </w:r>
      <w:proofErr w:type="spellStart"/>
      <w:r w:rsidRPr="002B1FEE">
        <w:rPr>
          <w:rFonts w:ascii="Cambria" w:hAnsi="Cambria"/>
        </w:rPr>
        <w:t>normas</w:t>
      </w:r>
      <w:proofErr w:type="spellEnd"/>
      <w:r w:rsidRPr="002B1FEE">
        <w:rPr>
          <w:rFonts w:ascii="Cambria" w:hAnsi="Cambria"/>
        </w:rPr>
        <w:t xml:space="preserve"> </w:t>
      </w:r>
      <w:proofErr w:type="spellStart"/>
      <w:r w:rsidRPr="002B1FEE">
        <w:rPr>
          <w:rFonts w:ascii="Cambria" w:hAnsi="Cambria"/>
        </w:rPr>
        <w:t>internacionales</w:t>
      </w:r>
      <w:proofErr w:type="spellEnd"/>
      <w:r w:rsidRPr="002B1FEE">
        <w:rPr>
          <w:rFonts w:ascii="Cambria" w:hAnsi="Cambria"/>
        </w:rPr>
        <w:t xml:space="preserve"> de </w:t>
      </w:r>
      <w:proofErr w:type="spellStart"/>
      <w:r w:rsidRPr="002B1FEE">
        <w:rPr>
          <w:rFonts w:ascii="Cambria" w:hAnsi="Cambria"/>
        </w:rPr>
        <w:t>información</w:t>
      </w:r>
      <w:proofErr w:type="spellEnd"/>
      <w:r w:rsidRPr="002B1FEE">
        <w:rPr>
          <w:rFonts w:ascii="Cambria" w:hAnsi="Cambria"/>
        </w:rPr>
        <w:t xml:space="preserve"> </w:t>
      </w:r>
      <w:proofErr w:type="spellStart"/>
      <w:r w:rsidRPr="002B1FEE">
        <w:rPr>
          <w:rFonts w:ascii="Cambria" w:hAnsi="Cambria"/>
        </w:rPr>
        <w:t>financiera</w:t>
      </w:r>
      <w:proofErr w:type="spellEnd"/>
      <w:r w:rsidRPr="002B1FEE">
        <w:rPr>
          <w:rFonts w:ascii="Cambria" w:hAnsi="Cambria"/>
        </w:rPr>
        <w:t xml:space="preserve"> (NIIF). </w:t>
      </w:r>
      <w:r w:rsidRPr="002B1FEE">
        <w:rPr>
          <w:rStyle w:val="Emphasis"/>
          <w:rFonts w:ascii="Cambria" w:hAnsi="Cambria"/>
        </w:rPr>
        <w:t>Innova Science Journal.</w:t>
      </w:r>
      <w:r w:rsidRPr="002B1FEE">
        <w:rPr>
          <w:rFonts w:ascii="Cambria" w:hAnsi="Cambria"/>
        </w:rPr>
        <w:t xml:space="preserve"> </w:t>
      </w:r>
      <w:hyperlink r:id="rId23" w:tgtFrame="_new" w:history="1">
        <w:r w:rsidRPr="002B1FEE">
          <w:rPr>
            <w:rStyle w:val="Hyperlink"/>
            <w:rFonts w:ascii="Cambria" w:hAnsi="Cambria"/>
          </w:rPr>
          <w:t>https://doi.org/10.63618/omd/isj/v1/n3/18</w:t>
        </w:r>
      </w:hyperlink>
    </w:p>
    <w:p w14:paraId="3A00E414" w14:textId="77777777" w:rsidR="002B1FEE" w:rsidRPr="002B1FEE" w:rsidRDefault="002B1FEE" w:rsidP="00A431BD">
      <w:pPr>
        <w:pStyle w:val="NormalWeb"/>
        <w:spacing w:before="0" w:beforeAutospacing="0" w:after="0" w:afterAutospacing="0"/>
        <w:ind w:left="720" w:hanging="654"/>
        <w:jc w:val="both"/>
        <w:rPr>
          <w:rFonts w:ascii="Cambria" w:hAnsi="Cambria"/>
        </w:rPr>
      </w:pPr>
      <w:r w:rsidRPr="002B1FEE">
        <w:rPr>
          <w:rFonts w:ascii="Cambria" w:hAnsi="Cambria"/>
        </w:rPr>
        <w:t xml:space="preserve">Silva, A., Fontes, A., Menezes, C., &amp; Montenegro, T. (2023). Transitioning to an IFRS-based accounting system: Longitudinal insights from practitioners in Portugal. </w:t>
      </w:r>
      <w:r w:rsidRPr="002B1FEE">
        <w:rPr>
          <w:rStyle w:val="Emphasis"/>
          <w:rFonts w:ascii="Cambria" w:hAnsi="Cambria"/>
        </w:rPr>
        <w:t>Sustainability.</w:t>
      </w:r>
      <w:r w:rsidRPr="002B1FEE">
        <w:rPr>
          <w:rFonts w:ascii="Cambria" w:hAnsi="Cambria"/>
        </w:rPr>
        <w:t xml:space="preserve"> </w:t>
      </w:r>
      <w:hyperlink r:id="rId24" w:tgtFrame="_new" w:history="1">
        <w:r w:rsidRPr="002B1FEE">
          <w:rPr>
            <w:rStyle w:val="Hyperlink"/>
            <w:rFonts w:ascii="Cambria" w:hAnsi="Cambria"/>
          </w:rPr>
          <w:t>https://doi.org/10.3390/su152015121</w:t>
        </w:r>
      </w:hyperlink>
    </w:p>
    <w:p w14:paraId="4F3AB2F3" w14:textId="77777777" w:rsidR="002B1FEE" w:rsidRPr="002B1FEE" w:rsidRDefault="002B1FEE" w:rsidP="00A431BD">
      <w:pPr>
        <w:pStyle w:val="NormalWeb"/>
        <w:spacing w:before="0" w:beforeAutospacing="0" w:after="0" w:afterAutospacing="0"/>
        <w:ind w:left="720" w:hanging="654"/>
        <w:jc w:val="both"/>
        <w:rPr>
          <w:rFonts w:ascii="Cambria" w:hAnsi="Cambria"/>
        </w:rPr>
      </w:pPr>
      <w:r w:rsidRPr="002B1FEE">
        <w:rPr>
          <w:rFonts w:ascii="Cambria" w:hAnsi="Cambria"/>
        </w:rPr>
        <w:t xml:space="preserve">Siregar, Y., Aprilia, R., Kartika, D., &amp; Darma, J. (2025). Convergence of IFRS with local accounting standards: A literature review. </w:t>
      </w:r>
      <w:proofErr w:type="spellStart"/>
      <w:r w:rsidRPr="002B1FEE">
        <w:rPr>
          <w:rStyle w:val="Emphasis"/>
          <w:rFonts w:ascii="Cambria" w:hAnsi="Cambria"/>
        </w:rPr>
        <w:t>Ilmu</w:t>
      </w:r>
      <w:proofErr w:type="spellEnd"/>
      <w:r w:rsidRPr="002B1FEE">
        <w:rPr>
          <w:rStyle w:val="Emphasis"/>
          <w:rFonts w:ascii="Cambria" w:hAnsi="Cambria"/>
        </w:rPr>
        <w:t xml:space="preserve"> Ekonomi </w:t>
      </w:r>
      <w:proofErr w:type="spellStart"/>
      <w:r w:rsidRPr="002B1FEE">
        <w:rPr>
          <w:rStyle w:val="Emphasis"/>
          <w:rFonts w:ascii="Cambria" w:hAnsi="Cambria"/>
        </w:rPr>
        <w:t>Manajemen</w:t>
      </w:r>
      <w:proofErr w:type="spellEnd"/>
      <w:r w:rsidRPr="002B1FEE">
        <w:rPr>
          <w:rStyle w:val="Emphasis"/>
          <w:rFonts w:ascii="Cambria" w:hAnsi="Cambria"/>
        </w:rPr>
        <w:t xml:space="preserve"> dan </w:t>
      </w:r>
      <w:proofErr w:type="spellStart"/>
      <w:r w:rsidRPr="002B1FEE">
        <w:rPr>
          <w:rStyle w:val="Emphasis"/>
          <w:rFonts w:ascii="Cambria" w:hAnsi="Cambria"/>
        </w:rPr>
        <w:t>Akuntansi</w:t>
      </w:r>
      <w:proofErr w:type="spellEnd"/>
      <w:r w:rsidRPr="002B1FEE">
        <w:rPr>
          <w:rStyle w:val="Emphasis"/>
          <w:rFonts w:ascii="Cambria" w:hAnsi="Cambria"/>
        </w:rPr>
        <w:t>.</w:t>
      </w:r>
      <w:r w:rsidRPr="002B1FEE">
        <w:rPr>
          <w:rFonts w:ascii="Cambria" w:hAnsi="Cambria"/>
        </w:rPr>
        <w:t xml:space="preserve"> </w:t>
      </w:r>
      <w:hyperlink r:id="rId25" w:tgtFrame="_new" w:history="1">
        <w:r w:rsidRPr="002B1FEE">
          <w:rPr>
            <w:rStyle w:val="Hyperlink"/>
            <w:rFonts w:ascii="Cambria" w:hAnsi="Cambria"/>
          </w:rPr>
          <w:t>https://doi.org/10.37012/ileka.v6i2.3042</w:t>
        </w:r>
      </w:hyperlink>
    </w:p>
    <w:p w14:paraId="19EFEC65" w14:textId="77777777" w:rsidR="002B1FEE" w:rsidRPr="002B1FEE" w:rsidRDefault="002B1FEE" w:rsidP="00A431BD">
      <w:pPr>
        <w:pStyle w:val="NormalWeb"/>
        <w:spacing w:before="0" w:beforeAutospacing="0" w:after="0" w:afterAutospacing="0"/>
        <w:ind w:left="720" w:hanging="654"/>
        <w:jc w:val="both"/>
        <w:rPr>
          <w:rFonts w:ascii="Cambria" w:hAnsi="Cambria"/>
        </w:rPr>
      </w:pPr>
      <w:r w:rsidRPr="002B1FEE">
        <w:rPr>
          <w:rFonts w:ascii="Cambria" w:hAnsi="Cambria"/>
        </w:rPr>
        <w:t xml:space="preserve">Šuvakov, P., &amp; Sekicki, V. (2025). Contemporary trends in the standardization of accounting and auditing at the international level. </w:t>
      </w:r>
      <w:r w:rsidRPr="002B1FEE">
        <w:rPr>
          <w:rStyle w:val="Emphasis"/>
          <w:rFonts w:ascii="Cambria" w:hAnsi="Cambria"/>
        </w:rPr>
        <w:t>Journal of Agronomy, Technology and Engineering Management (JATEM).</w:t>
      </w:r>
      <w:r w:rsidRPr="002B1FEE">
        <w:rPr>
          <w:rFonts w:ascii="Cambria" w:hAnsi="Cambria"/>
        </w:rPr>
        <w:t xml:space="preserve"> </w:t>
      </w:r>
      <w:hyperlink r:id="rId26" w:tgtFrame="_new" w:history="1">
        <w:r w:rsidRPr="002B1FEE">
          <w:rPr>
            <w:rStyle w:val="Hyperlink"/>
            <w:rFonts w:ascii="Cambria" w:hAnsi="Cambria"/>
          </w:rPr>
          <w:t>https://doi.org/10.55817/ynph2883</w:t>
        </w:r>
      </w:hyperlink>
    </w:p>
    <w:p w14:paraId="244CA98C" w14:textId="77777777" w:rsidR="002B1FEE" w:rsidRPr="002B1FEE" w:rsidRDefault="002B1FEE" w:rsidP="00A431BD">
      <w:pPr>
        <w:pStyle w:val="NormalWeb"/>
        <w:spacing w:before="0" w:beforeAutospacing="0" w:after="0" w:afterAutospacing="0"/>
        <w:ind w:left="720" w:hanging="654"/>
        <w:jc w:val="both"/>
        <w:rPr>
          <w:rFonts w:ascii="Cambria" w:hAnsi="Cambria"/>
        </w:rPr>
      </w:pPr>
      <w:r w:rsidRPr="002B1FEE">
        <w:rPr>
          <w:rFonts w:ascii="Cambria" w:hAnsi="Cambria"/>
        </w:rPr>
        <w:t xml:space="preserve">Sujana, D., &amp; </w:t>
      </w:r>
      <w:proofErr w:type="spellStart"/>
      <w:r w:rsidRPr="002B1FEE">
        <w:rPr>
          <w:rFonts w:ascii="Cambria" w:hAnsi="Cambria"/>
        </w:rPr>
        <w:t>Mukhlisin</w:t>
      </w:r>
      <w:proofErr w:type="spellEnd"/>
      <w:r w:rsidRPr="002B1FEE">
        <w:rPr>
          <w:rFonts w:ascii="Cambria" w:hAnsi="Cambria"/>
        </w:rPr>
        <w:t xml:space="preserve">, M. (2025). IFRS adoption models in Islamic banks of South Africa and Indonesia: A systematic literature review. </w:t>
      </w:r>
      <w:r w:rsidRPr="002B1FEE">
        <w:rPr>
          <w:rStyle w:val="Emphasis"/>
          <w:rFonts w:ascii="Cambria" w:hAnsi="Cambria"/>
        </w:rPr>
        <w:t xml:space="preserve">Share: </w:t>
      </w:r>
      <w:proofErr w:type="spellStart"/>
      <w:r w:rsidRPr="002B1FEE">
        <w:rPr>
          <w:rStyle w:val="Emphasis"/>
          <w:rFonts w:ascii="Cambria" w:hAnsi="Cambria"/>
        </w:rPr>
        <w:t>Jurnal</w:t>
      </w:r>
      <w:proofErr w:type="spellEnd"/>
      <w:r w:rsidRPr="002B1FEE">
        <w:rPr>
          <w:rStyle w:val="Emphasis"/>
          <w:rFonts w:ascii="Cambria" w:hAnsi="Cambria"/>
        </w:rPr>
        <w:t xml:space="preserve"> Ekonomi dan </w:t>
      </w:r>
      <w:proofErr w:type="spellStart"/>
      <w:r w:rsidRPr="002B1FEE">
        <w:rPr>
          <w:rStyle w:val="Emphasis"/>
          <w:rFonts w:ascii="Cambria" w:hAnsi="Cambria"/>
        </w:rPr>
        <w:t>Keuangan</w:t>
      </w:r>
      <w:proofErr w:type="spellEnd"/>
      <w:r w:rsidRPr="002B1FEE">
        <w:rPr>
          <w:rStyle w:val="Emphasis"/>
          <w:rFonts w:ascii="Cambria" w:hAnsi="Cambria"/>
        </w:rPr>
        <w:t xml:space="preserve"> Islam.</w:t>
      </w:r>
      <w:r w:rsidRPr="002B1FEE">
        <w:rPr>
          <w:rFonts w:ascii="Cambria" w:hAnsi="Cambria"/>
        </w:rPr>
        <w:t xml:space="preserve"> </w:t>
      </w:r>
      <w:hyperlink r:id="rId27" w:tgtFrame="_new" w:history="1">
        <w:r w:rsidRPr="002B1FEE">
          <w:rPr>
            <w:rStyle w:val="Hyperlink"/>
            <w:rFonts w:ascii="Cambria" w:hAnsi="Cambria"/>
          </w:rPr>
          <w:t>https://doi.org/10.22373/share.v14i1.28769</w:t>
        </w:r>
      </w:hyperlink>
    </w:p>
    <w:p w14:paraId="2C1124F2" w14:textId="77777777" w:rsidR="002B1FEE" w:rsidRPr="002B1FEE" w:rsidRDefault="002B1FEE" w:rsidP="00A431BD">
      <w:pPr>
        <w:pStyle w:val="NormalWeb"/>
        <w:spacing w:before="0" w:beforeAutospacing="0" w:after="0" w:afterAutospacing="0"/>
        <w:ind w:left="720" w:hanging="654"/>
        <w:jc w:val="both"/>
        <w:rPr>
          <w:rFonts w:ascii="Cambria" w:hAnsi="Cambria"/>
        </w:rPr>
      </w:pPr>
      <w:r w:rsidRPr="002B1FEE">
        <w:rPr>
          <w:rFonts w:ascii="Cambria" w:hAnsi="Cambria"/>
        </w:rPr>
        <w:t xml:space="preserve">Syahrani, A., </w:t>
      </w:r>
      <w:proofErr w:type="spellStart"/>
      <w:r w:rsidRPr="002B1FEE">
        <w:rPr>
          <w:rFonts w:ascii="Cambria" w:hAnsi="Cambria"/>
        </w:rPr>
        <w:t>Safitri</w:t>
      </w:r>
      <w:proofErr w:type="spellEnd"/>
      <w:r w:rsidRPr="002B1FEE">
        <w:rPr>
          <w:rFonts w:ascii="Cambria" w:hAnsi="Cambria"/>
        </w:rPr>
        <w:t xml:space="preserve">, A., Pratiwi, D., Amalia, G., &amp; </w:t>
      </w:r>
      <w:proofErr w:type="spellStart"/>
      <w:r w:rsidRPr="002B1FEE">
        <w:rPr>
          <w:rFonts w:ascii="Cambria" w:hAnsi="Cambria"/>
        </w:rPr>
        <w:t>Mulyanto</w:t>
      </w:r>
      <w:proofErr w:type="spellEnd"/>
      <w:r w:rsidRPr="002B1FEE">
        <w:rPr>
          <w:rFonts w:ascii="Cambria" w:hAnsi="Cambria"/>
        </w:rPr>
        <w:t xml:space="preserve">, Y. (2025). The impact of globalization on harmonization of international accounting standards: IFRS adoption study in Indonesia. </w:t>
      </w:r>
      <w:r w:rsidRPr="002B1FEE">
        <w:rPr>
          <w:rStyle w:val="Emphasis"/>
          <w:rFonts w:ascii="Cambria" w:hAnsi="Cambria"/>
        </w:rPr>
        <w:t>International Journal of Asian Business and Development.</w:t>
      </w:r>
      <w:r w:rsidRPr="002B1FEE">
        <w:rPr>
          <w:rFonts w:ascii="Cambria" w:hAnsi="Cambria"/>
        </w:rPr>
        <w:t xml:space="preserve"> </w:t>
      </w:r>
      <w:hyperlink r:id="rId28" w:tgtFrame="_new" w:history="1">
        <w:r w:rsidRPr="002B1FEE">
          <w:rPr>
            <w:rStyle w:val="Hyperlink"/>
            <w:rFonts w:ascii="Cambria" w:hAnsi="Cambria"/>
          </w:rPr>
          <w:t>https://doi.org/10.55927/metropolis.v1i4.307</w:t>
        </w:r>
      </w:hyperlink>
    </w:p>
    <w:p w14:paraId="28C31D86" w14:textId="77777777" w:rsidR="00AE6438" w:rsidRPr="00AE6438" w:rsidRDefault="00AE6438" w:rsidP="002B1FEE">
      <w:pPr>
        <w:pStyle w:val="ListParagraph"/>
        <w:pBdr>
          <w:top w:val="nil"/>
          <w:left w:val="nil"/>
          <w:bottom w:val="nil"/>
          <w:right w:val="nil"/>
          <w:between w:val="nil"/>
        </w:pBdr>
        <w:ind w:left="567"/>
        <w:jc w:val="both"/>
        <w:rPr>
          <w:rFonts w:ascii="Cambria" w:eastAsia="Cambria" w:hAnsi="Cambria" w:cs="Cambria"/>
          <w:sz w:val="24"/>
          <w:szCs w:val="24"/>
          <w:lang w:val="en-US"/>
        </w:rPr>
      </w:pPr>
    </w:p>
    <w:p w14:paraId="60506DB4" w14:textId="77777777" w:rsidR="004069F7" w:rsidRPr="00AE6438" w:rsidRDefault="004069F7" w:rsidP="00601D0F">
      <w:pPr>
        <w:pStyle w:val="ListParagraph"/>
        <w:pBdr>
          <w:top w:val="nil"/>
          <w:left w:val="nil"/>
          <w:bottom w:val="nil"/>
          <w:right w:val="nil"/>
          <w:between w:val="nil"/>
        </w:pBdr>
        <w:ind w:left="426"/>
        <w:jc w:val="both"/>
        <w:rPr>
          <w:rFonts w:ascii="Cambria" w:eastAsia="Cambria" w:hAnsi="Cambria" w:cs="Cambria"/>
          <w:sz w:val="24"/>
          <w:szCs w:val="24"/>
          <w:lang w:val="en-US"/>
        </w:rPr>
      </w:pPr>
    </w:p>
    <w:sectPr w:rsidR="004069F7" w:rsidRPr="00AE6438" w:rsidSect="00A431BD">
      <w:headerReference w:type="even" r:id="rId29"/>
      <w:headerReference w:type="default" r:id="rId30"/>
      <w:footerReference w:type="even" r:id="rId31"/>
      <w:footerReference w:type="default" r:id="rId32"/>
      <w:headerReference w:type="first" r:id="rId33"/>
      <w:footerReference w:type="first" r:id="rId34"/>
      <w:pgSz w:w="11906" w:h="16838"/>
      <w:pgMar w:top="1106" w:right="1440" w:bottom="1440" w:left="1440" w:header="568" w:footer="0" w:gutter="0"/>
      <w:pgNumType w:start="4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0A2BB" w14:textId="77777777" w:rsidR="00DA626C" w:rsidRDefault="00DA626C">
      <w:r>
        <w:separator/>
      </w:r>
    </w:p>
  </w:endnote>
  <w:endnote w:type="continuationSeparator" w:id="0">
    <w:p w14:paraId="56731A4A" w14:textId="77777777" w:rsidR="00DA626C" w:rsidRDefault="00DA6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ibre Franklin Medium">
    <w:charset w:val="00"/>
    <w:family w:val="auto"/>
    <w:pitch w:val="variable"/>
    <w:sig w:usb0="A00000FF" w:usb1="4000205B" w:usb2="00000000" w:usb3="00000000" w:csb0="00000193" w:csb1="00000000"/>
  </w:font>
  <w:font w:name="Noto Serif">
    <w:altName w:val="MV Boli"/>
    <w:charset w:val="00"/>
    <w:family w:val="roman"/>
    <w:pitch w:val="variable"/>
    <w:sig w:usb0="E00002FF" w:usb1="500078FF" w:usb2="0000002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4C782" w14:textId="77777777" w:rsidR="006F5A19" w:rsidRDefault="006F5A19">
    <w:pPr>
      <w:pBdr>
        <w:top w:val="nil"/>
        <w:left w:val="nil"/>
        <w:bottom w:val="nil"/>
        <w:right w:val="nil"/>
        <w:between w:val="nil"/>
      </w:pBdr>
      <w:tabs>
        <w:tab w:val="center" w:pos="4680"/>
        <w:tab w:val="right" w:pos="9360"/>
      </w:tabs>
      <w:ind w:firstLine="851"/>
      <w:jc w:val="right"/>
      <w:rPr>
        <w:color w:val="000000"/>
      </w:rPr>
    </w:pPr>
    <w:r>
      <w:rPr>
        <w:color w:val="000000"/>
      </w:rPr>
      <w:fldChar w:fldCharType="begin"/>
    </w:r>
    <w:r>
      <w:rPr>
        <w:color w:val="000000"/>
      </w:rPr>
      <w:instrText>PAGE</w:instrText>
    </w:r>
    <w:r>
      <w:rPr>
        <w:color w:val="000000"/>
      </w:rPr>
      <w:fldChar w:fldCharType="end"/>
    </w:r>
  </w:p>
  <w:p w14:paraId="00E679DB" w14:textId="77777777" w:rsidR="006F5A19" w:rsidRDefault="006F5A19">
    <w:pPr>
      <w:pBdr>
        <w:top w:val="nil"/>
        <w:left w:val="nil"/>
        <w:bottom w:val="nil"/>
        <w:right w:val="nil"/>
        <w:between w:val="nil"/>
      </w:pBdr>
      <w:tabs>
        <w:tab w:val="center" w:pos="4680"/>
        <w:tab w:val="right" w:pos="9360"/>
      </w:tabs>
      <w:ind w:right="360"/>
      <w:jc w:val="both"/>
      <w:rPr>
        <w:rFonts w:ascii="Candara" w:eastAsia="Candara" w:hAnsi="Candara" w:cs="Candara"/>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CDE7B" w14:textId="77777777" w:rsidR="006F5A19" w:rsidRDefault="006F5A19">
    <w:pPr>
      <w:pBdr>
        <w:top w:val="nil"/>
        <w:left w:val="nil"/>
        <w:bottom w:val="nil"/>
        <w:right w:val="nil"/>
        <w:between w:val="nil"/>
      </w:pBdr>
      <w:tabs>
        <w:tab w:val="center" w:pos="4680"/>
        <w:tab w:val="right" w:pos="9360"/>
      </w:tabs>
      <w:ind w:firstLine="851"/>
      <w:jc w:val="right"/>
      <w:rPr>
        <w:color w:val="000000"/>
      </w:rPr>
    </w:pPr>
    <w:r>
      <w:rPr>
        <w:color w:val="000000"/>
      </w:rPr>
      <w:fldChar w:fldCharType="begin"/>
    </w:r>
    <w:r>
      <w:rPr>
        <w:color w:val="000000"/>
      </w:rPr>
      <w:instrText>PAGE</w:instrText>
    </w:r>
    <w:r>
      <w:rPr>
        <w:color w:val="000000"/>
      </w:rPr>
      <w:fldChar w:fldCharType="separate"/>
    </w:r>
    <w:r w:rsidR="002B1FEE">
      <w:rPr>
        <w:noProof/>
        <w:color w:val="000000"/>
      </w:rPr>
      <w:t>1</w:t>
    </w:r>
    <w:r w:rsidR="002B1FEE">
      <w:rPr>
        <w:noProof/>
        <w:color w:val="000000"/>
      </w:rPr>
      <w:t>1</w:t>
    </w:r>
    <w:r>
      <w:rPr>
        <w:color w:val="000000"/>
      </w:rPr>
      <w:fldChar w:fldCharType="end"/>
    </w:r>
  </w:p>
  <w:p w14:paraId="317001AB" w14:textId="77777777" w:rsidR="006F5A19" w:rsidRDefault="006F5A19">
    <w:pPr>
      <w:pBdr>
        <w:top w:val="nil"/>
        <w:left w:val="nil"/>
        <w:bottom w:val="nil"/>
        <w:right w:val="nil"/>
        <w:between w:val="nil"/>
      </w:pBdr>
      <w:tabs>
        <w:tab w:val="center" w:pos="4680"/>
        <w:tab w:val="right" w:pos="9360"/>
      </w:tabs>
      <w:jc w:val="both"/>
      <w:rPr>
        <w:rFonts w:ascii="Libre Franklin Medium" w:eastAsia="Libre Franklin Medium" w:hAnsi="Libre Franklin Medium" w:cs="Libre Franklin Medium"/>
        <w:b/>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7B53E" w14:textId="77777777" w:rsidR="006F5A19" w:rsidRDefault="006F5A19">
    <w:pPr>
      <w:pBdr>
        <w:top w:val="nil"/>
        <w:left w:val="nil"/>
        <w:bottom w:val="nil"/>
        <w:right w:val="nil"/>
        <w:between w:val="nil"/>
      </w:pBdr>
      <w:tabs>
        <w:tab w:val="center" w:pos="4680"/>
        <w:tab w:val="right" w:pos="9360"/>
      </w:tabs>
      <w:spacing w:line="192" w:lineRule="auto"/>
      <w:ind w:firstLine="851"/>
      <w:jc w:val="right"/>
      <w:rPr>
        <w:color w:val="000000"/>
      </w:rPr>
    </w:pPr>
    <w:r>
      <w:rPr>
        <w:color w:val="000000"/>
      </w:rPr>
      <w:fldChar w:fldCharType="begin"/>
    </w:r>
    <w:r>
      <w:rPr>
        <w:color w:val="000000"/>
      </w:rPr>
      <w:instrText>PAGE</w:instrText>
    </w:r>
    <w:r>
      <w:rPr>
        <w:color w:val="000000"/>
      </w:rPr>
      <w:fldChar w:fldCharType="separate"/>
    </w:r>
    <w:r w:rsidR="002B1FEE">
      <w:rPr>
        <w:noProof/>
        <w:color w:val="000000"/>
      </w:rPr>
      <w:t>1</w:t>
    </w:r>
    <w:r>
      <w:rPr>
        <w:color w:val="000000"/>
      </w:rPr>
      <w:fldChar w:fldCharType="end"/>
    </w:r>
  </w:p>
  <w:p w14:paraId="6880E848" w14:textId="77777777" w:rsidR="006F5A19" w:rsidRDefault="006F5A19">
    <w:pPr>
      <w:tabs>
        <w:tab w:val="center" w:pos="4680"/>
        <w:tab w:val="right" w:pos="9360"/>
      </w:tabs>
      <w:rPr>
        <w:sz w:val="16"/>
        <w:szCs w:val="16"/>
      </w:rPr>
    </w:pPr>
    <w:r>
      <w:rPr>
        <w:noProof/>
        <w:sz w:val="16"/>
        <w:szCs w:val="16"/>
        <w:lang w:val="en-US" w:eastAsia="en-US"/>
      </w:rPr>
      <w:drawing>
        <wp:inline distT="114300" distB="114300" distL="114300" distR="114300" wp14:anchorId="17292822" wp14:editId="20F56823">
          <wp:extent cx="1062038" cy="376852"/>
          <wp:effectExtent l="0" t="0" r="0" b="0"/>
          <wp:docPr id="9863847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62038" cy="376852"/>
                  </a:xfrm>
                  <a:prstGeom prst="rect">
                    <a:avLst/>
                  </a:prstGeom>
                  <a:ln/>
                </pic:spPr>
              </pic:pic>
            </a:graphicData>
          </a:graphic>
        </wp:inline>
      </w:drawing>
    </w:r>
  </w:p>
  <w:p w14:paraId="345C0D6A" w14:textId="77777777" w:rsidR="006F5A19" w:rsidRDefault="006F5A19">
    <w:pPr>
      <w:tabs>
        <w:tab w:val="center" w:pos="4680"/>
        <w:tab w:val="right" w:pos="9360"/>
      </w:tabs>
      <w:rPr>
        <w:sz w:val="16"/>
        <w:szCs w:val="16"/>
      </w:rPr>
    </w:pPr>
    <w:r>
      <w:rPr>
        <w:sz w:val="16"/>
        <w:szCs w:val="16"/>
      </w:rPr>
      <w:t>Creative Commons Attribution-ShareAlike 4.0 International License:</w:t>
    </w:r>
  </w:p>
  <w:p w14:paraId="4A7B6DA1" w14:textId="77777777" w:rsidR="006F5A19" w:rsidRDefault="006F5A19">
    <w:pPr>
      <w:tabs>
        <w:tab w:val="center" w:pos="4680"/>
        <w:tab w:val="right" w:pos="9360"/>
      </w:tabs>
      <w:rPr>
        <w:color w:val="1155CC"/>
        <w:sz w:val="16"/>
        <w:szCs w:val="16"/>
        <w:u w:val="single"/>
      </w:rPr>
    </w:pPr>
    <w:hyperlink r:id="rId2">
      <w:r>
        <w:rPr>
          <w:color w:val="1155CC"/>
          <w:sz w:val="16"/>
          <w:szCs w:val="16"/>
          <w:u w:val="single"/>
        </w:rPr>
        <w:t>https://creativecommons.org/licenses/by-sa/4.0/</w:t>
      </w:r>
    </w:hyperlink>
  </w:p>
  <w:p w14:paraId="7C299652" w14:textId="77777777" w:rsidR="006F5A19" w:rsidRDefault="006F5A19">
    <w:pPr>
      <w:pBdr>
        <w:top w:val="nil"/>
        <w:left w:val="nil"/>
        <w:bottom w:val="nil"/>
        <w:right w:val="nil"/>
        <w:between w:val="nil"/>
      </w:pBdr>
      <w:tabs>
        <w:tab w:val="center" w:pos="4680"/>
        <w:tab w:val="right" w:pos="9360"/>
      </w:tabs>
      <w:spacing w:before="240" w:after="240" w:line="120" w:lineRule="auto"/>
      <w:ind w:firstLine="851"/>
    </w:pPr>
  </w:p>
  <w:p w14:paraId="6278CA03" w14:textId="77777777" w:rsidR="006F5A19" w:rsidRDefault="006F5A19">
    <w:pPr>
      <w:pBdr>
        <w:top w:val="nil"/>
        <w:left w:val="nil"/>
        <w:bottom w:val="nil"/>
        <w:right w:val="nil"/>
        <w:between w:val="nil"/>
      </w:pBdr>
      <w:tabs>
        <w:tab w:val="center" w:pos="4680"/>
        <w:tab w:val="right" w:pos="9360"/>
      </w:tabs>
      <w:ind w:firstLine="851"/>
      <w:jc w:val="both"/>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7882F" w14:textId="77777777" w:rsidR="00DA626C" w:rsidRDefault="00DA626C">
      <w:r>
        <w:separator/>
      </w:r>
    </w:p>
  </w:footnote>
  <w:footnote w:type="continuationSeparator" w:id="0">
    <w:p w14:paraId="0FBCC1EF" w14:textId="77777777" w:rsidR="00DA626C" w:rsidRDefault="00DA6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90395" w14:textId="77777777" w:rsidR="006F5A19" w:rsidRDefault="006F5A19">
    <w:pPr>
      <w:pBdr>
        <w:top w:val="nil"/>
        <w:left w:val="nil"/>
        <w:bottom w:val="nil"/>
        <w:right w:val="nil"/>
        <w:between w:val="nil"/>
      </w:pBdr>
      <w:tabs>
        <w:tab w:val="center" w:pos="4680"/>
        <w:tab w:val="right" w:pos="9360"/>
      </w:tabs>
      <w:jc w:val="both"/>
      <w:rPr>
        <w:rFonts w:ascii="Libre Franklin Medium" w:eastAsia="Libre Franklin Medium" w:hAnsi="Libre Franklin Medium" w:cs="Libre Franklin Medium"/>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E39C" w14:textId="77777777" w:rsidR="006F5A19" w:rsidRDefault="006F5A19">
    <w:pPr>
      <w:pBdr>
        <w:top w:val="nil"/>
        <w:left w:val="nil"/>
        <w:bottom w:val="nil"/>
        <w:right w:val="nil"/>
        <w:between w:val="nil"/>
      </w:pBdr>
      <w:tabs>
        <w:tab w:val="center" w:pos="4680"/>
        <w:tab w:val="right" w:pos="9360"/>
      </w:tabs>
      <w:jc w:val="right"/>
      <w:rPr>
        <w:rFonts w:ascii="Libre Franklin Medium" w:eastAsia="Libre Franklin Medium" w:hAnsi="Libre Franklin Medium" w:cs="Libre Franklin Medium"/>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8103C" w14:textId="77777777" w:rsidR="00A431BD" w:rsidRPr="002F29FB" w:rsidRDefault="00A431BD" w:rsidP="00A431BD">
    <w:pPr>
      <w:pBdr>
        <w:top w:val="nil"/>
        <w:left w:val="nil"/>
        <w:bottom w:val="nil"/>
        <w:right w:val="nil"/>
        <w:between w:val="nil"/>
      </w:pBdr>
      <w:tabs>
        <w:tab w:val="center" w:pos="4680"/>
        <w:tab w:val="right" w:pos="9360"/>
      </w:tabs>
      <w:jc w:val="both"/>
      <w:rPr>
        <w:color w:val="000000"/>
      </w:rPr>
    </w:pPr>
    <w:r w:rsidRPr="002F29FB">
      <w:rPr>
        <w:color w:val="000000"/>
      </w:rPr>
      <w:t xml:space="preserve">Nomico Journal </w:t>
    </w:r>
    <w:r w:rsidRPr="002F29FB">
      <w:rPr>
        <w:noProof/>
        <w:lang w:val="en-US" w:eastAsia="en-US"/>
      </w:rPr>
      <w:drawing>
        <wp:anchor distT="0" distB="0" distL="0" distR="0" simplePos="0" relativeHeight="251659264" behindDoc="1" locked="0" layoutInCell="1" hidden="0" allowOverlap="1" wp14:anchorId="0B70D388" wp14:editId="026FC88D">
          <wp:simplePos x="0" y="0"/>
          <wp:positionH relativeFrom="column">
            <wp:posOffset>4238625</wp:posOffset>
          </wp:positionH>
          <wp:positionV relativeFrom="paragraph">
            <wp:posOffset>-303528</wp:posOffset>
          </wp:positionV>
          <wp:extent cx="1390650" cy="1390650"/>
          <wp:effectExtent l="0" t="0" r="0" b="0"/>
          <wp:wrapNone/>
          <wp:docPr id="19869920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90650" cy="1390650"/>
                  </a:xfrm>
                  <a:prstGeom prst="rect">
                    <a:avLst/>
                  </a:prstGeom>
                  <a:ln/>
                </pic:spPr>
              </pic:pic>
            </a:graphicData>
          </a:graphic>
        </wp:anchor>
      </w:drawing>
    </w:r>
    <w:r w:rsidRPr="002F29FB">
      <w:rPr>
        <w:noProof/>
        <w:lang w:val="en-US" w:eastAsia="en-US"/>
      </w:rPr>
      <mc:AlternateContent>
        <mc:Choice Requires="wps">
          <w:drawing>
            <wp:anchor distT="0" distB="0" distL="114300" distR="114300" simplePos="0" relativeHeight="251660288" behindDoc="0" locked="0" layoutInCell="1" hidden="0" allowOverlap="1" wp14:anchorId="156D68EC" wp14:editId="215ED2D9">
              <wp:simplePos x="0" y="0"/>
              <wp:positionH relativeFrom="column">
                <wp:posOffset>-12699</wp:posOffset>
              </wp:positionH>
              <wp:positionV relativeFrom="paragraph">
                <wp:posOffset>-50799</wp:posOffset>
              </wp:positionV>
              <wp:extent cx="0" cy="28575"/>
              <wp:effectExtent l="0" t="0" r="0" b="0"/>
              <wp:wrapNone/>
              <wp:docPr id="1103881322" name="Straight Arrow Connector 1103881322"/>
              <wp:cNvGraphicFramePr/>
              <a:graphic xmlns:a="http://schemas.openxmlformats.org/drawingml/2006/main">
                <a:graphicData uri="http://schemas.microsoft.com/office/word/2010/wordprocessingShape">
                  <wps:wsp>
                    <wps:cNvCnPr/>
                    <wps:spPr>
                      <a:xfrm>
                        <a:off x="2502788" y="3780000"/>
                        <a:ext cx="5686425" cy="0"/>
                      </a:xfrm>
                      <a:prstGeom prst="straightConnector1">
                        <a:avLst/>
                      </a:prstGeom>
                      <a:noFill/>
                      <a:ln w="28575" cap="flat" cmpd="sng">
                        <a:solidFill>
                          <a:schemeClr val="dk1"/>
                        </a:solidFill>
                        <a:prstDash val="solid"/>
                        <a:miter lim="800000"/>
                        <a:headEnd type="none" w="sm" len="sm"/>
                        <a:tailEnd type="none" w="sm" len="sm"/>
                      </a:ln>
                    </wps:spPr>
                    <wps:bodyPr/>
                  </wps:wsp>
                </a:graphicData>
              </a:graphic>
            </wp:anchor>
          </w:drawing>
        </mc:Choice>
        <mc:Fallback>
          <w:pict>
            <v:shapetype w14:anchorId="20B121F8" id="_x0000_t32" coordsize="21600,21600" o:spt="32" o:oned="t" path="m,l21600,21600e" filled="f">
              <v:path arrowok="t" fillok="f" o:connecttype="none"/>
              <o:lock v:ext="edit" shapetype="t"/>
            </v:shapetype>
            <v:shape id="Straight Arrow Connector 1103881322" o:spid="_x0000_s1026" type="#_x0000_t32" style="position:absolute;margin-left:-1pt;margin-top:-4pt;width:0;height:2.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" strokecolor="black [3200]" strokeweight="2.25pt">
              <v:stroke startarrowwidth="narrow" startarrowlength="short" endarrowwidth="narrow" endarrowlength="short" joinstyle="miter"/>
            </v:shape>
          </w:pict>
        </mc:Fallback>
      </mc:AlternateContent>
    </w:r>
  </w:p>
  <w:p w14:paraId="43A3817F" w14:textId="77777777" w:rsidR="00A431BD" w:rsidRPr="002F29FB" w:rsidRDefault="00A431BD" w:rsidP="00A431BD">
    <w:pPr>
      <w:pBdr>
        <w:top w:val="nil"/>
        <w:left w:val="nil"/>
        <w:bottom w:val="nil"/>
        <w:right w:val="nil"/>
        <w:between w:val="nil"/>
      </w:pBdr>
      <w:tabs>
        <w:tab w:val="center" w:pos="4680"/>
        <w:tab w:val="right" w:pos="9360"/>
      </w:tabs>
      <w:jc w:val="both"/>
      <w:rPr>
        <w:color w:val="000000"/>
      </w:rPr>
    </w:pPr>
    <w:r w:rsidRPr="002F29FB">
      <w:rPr>
        <w:color w:val="000000"/>
      </w:rPr>
      <w:t xml:space="preserve">E-ISSN : </w:t>
    </w:r>
    <w:r w:rsidRPr="002F29FB">
      <w:rPr>
        <w:rFonts w:eastAsia="Noto Serif"/>
        <w:color w:val="000000"/>
        <w:sz w:val="21"/>
        <w:szCs w:val="21"/>
        <w:highlight w:val="white"/>
      </w:rPr>
      <w:t>3046-6318</w:t>
    </w:r>
  </w:p>
  <w:p w14:paraId="72ABCBB6" w14:textId="77777777" w:rsidR="00A431BD" w:rsidRPr="002F29FB" w:rsidRDefault="00A431BD" w:rsidP="00A431BD">
    <w:pPr>
      <w:pBdr>
        <w:top w:val="nil"/>
        <w:left w:val="nil"/>
        <w:bottom w:val="nil"/>
        <w:right w:val="nil"/>
        <w:between w:val="nil"/>
      </w:pBdr>
      <w:tabs>
        <w:tab w:val="center" w:pos="4680"/>
        <w:tab w:val="right" w:pos="9360"/>
      </w:tabs>
      <w:jc w:val="both"/>
      <w:rPr>
        <w:color w:val="000000"/>
      </w:rPr>
    </w:pPr>
    <w:hyperlink r:id="rId2">
      <w:r w:rsidRPr="002F29FB">
        <w:rPr>
          <w:color w:val="0000FF"/>
          <w:u w:val="single"/>
        </w:rPr>
        <w:t>https://nawalaeducation.com/index.php/NJ/index</w:t>
      </w:r>
    </w:hyperlink>
  </w:p>
  <w:p w14:paraId="43B2F882" w14:textId="77777777" w:rsidR="00A431BD" w:rsidRPr="002F29FB" w:rsidRDefault="00A431BD" w:rsidP="00A431BD">
    <w:pPr>
      <w:pBdr>
        <w:top w:val="nil"/>
        <w:left w:val="nil"/>
        <w:bottom w:val="nil"/>
        <w:right w:val="nil"/>
        <w:between w:val="nil"/>
      </w:pBdr>
      <w:tabs>
        <w:tab w:val="center" w:pos="4680"/>
        <w:tab w:val="right" w:pos="9360"/>
      </w:tabs>
      <w:jc w:val="both"/>
      <w:rPr>
        <w:color w:val="000000"/>
      </w:rPr>
    </w:pPr>
    <w:r w:rsidRPr="002F29FB">
      <w:rPr>
        <w:color w:val="000000"/>
      </w:rPr>
      <w:t>Vol.3.No.1 February 2026</w:t>
    </w:r>
  </w:p>
  <w:p w14:paraId="43F46293" w14:textId="2F0D4EB8" w:rsidR="00A431BD" w:rsidRPr="002F29FB" w:rsidRDefault="00A431BD" w:rsidP="00A431BD">
    <w:pPr>
      <w:pBdr>
        <w:top w:val="nil"/>
        <w:left w:val="nil"/>
        <w:bottom w:val="nil"/>
        <w:right w:val="nil"/>
        <w:between w:val="nil"/>
      </w:pBdr>
      <w:tabs>
        <w:tab w:val="center" w:pos="4680"/>
        <w:tab w:val="right" w:pos="9360"/>
      </w:tabs>
      <w:jc w:val="both"/>
      <w:rPr>
        <w:color w:val="000000"/>
      </w:rPr>
    </w:pPr>
    <w:r w:rsidRPr="002F29FB">
      <w:rPr>
        <w:color w:val="000000"/>
      </w:rPr>
      <w:t xml:space="preserve">DOI : </w:t>
    </w:r>
    <w:r w:rsidRPr="002F29FB">
      <w:rPr>
        <w:rFonts w:eastAsia="Arial"/>
        <w:color w:val="000000"/>
        <w:sz w:val="16"/>
        <w:szCs w:val="16"/>
      </w:rPr>
      <w:t xml:space="preserve">: </w:t>
    </w:r>
    <w:hyperlink r:id="rId3" w:history="1">
      <w:r w:rsidRPr="00570403">
        <w:rPr>
          <w:rStyle w:val="Hyperlink"/>
          <w:rFonts w:eastAsia="Arial"/>
        </w:rPr>
        <w:t>https://doi.org/</w:t>
      </w:r>
    </w:hyperlink>
    <w:r>
      <w:t xml:space="preserve">   </w:t>
    </w:r>
    <w:r w:rsidRPr="002F29FB">
      <w:rPr>
        <w:rFonts w:eastAsia="Arial"/>
        <w:color w:val="000000"/>
      </w:rPr>
      <w:t xml:space="preserve">  </w:t>
    </w:r>
  </w:p>
  <w:p w14:paraId="7D21F007" w14:textId="1065DE49" w:rsidR="006F5A19" w:rsidRPr="00A431BD" w:rsidRDefault="00A431BD" w:rsidP="00A431BD">
    <w:pPr>
      <w:pBdr>
        <w:top w:val="nil"/>
        <w:left w:val="nil"/>
        <w:bottom w:val="nil"/>
        <w:right w:val="nil"/>
        <w:between w:val="nil"/>
      </w:pBdr>
      <w:tabs>
        <w:tab w:val="center" w:pos="4680"/>
        <w:tab w:val="right" w:pos="9360"/>
      </w:tabs>
      <w:jc w:val="both"/>
      <w:rPr>
        <w:color w:val="000000"/>
      </w:rPr>
    </w:pPr>
    <w:r w:rsidRPr="002F29FB">
      <w:rPr>
        <w:noProof/>
        <w:lang w:val="en-US" w:eastAsia="en-US"/>
      </w:rPr>
      <mc:AlternateContent>
        <mc:Choice Requires="wps">
          <w:drawing>
            <wp:anchor distT="0" distB="0" distL="114300" distR="114300" simplePos="0" relativeHeight="251661312" behindDoc="0" locked="0" layoutInCell="1" hidden="0" allowOverlap="1" wp14:anchorId="4DCB8049" wp14:editId="130545DE">
              <wp:simplePos x="0" y="0"/>
              <wp:positionH relativeFrom="column">
                <wp:posOffset>-12699</wp:posOffset>
              </wp:positionH>
              <wp:positionV relativeFrom="paragraph">
                <wp:posOffset>127000</wp:posOffset>
              </wp:positionV>
              <wp:extent cx="0" cy="28575"/>
              <wp:effectExtent l="0" t="0" r="0" b="0"/>
              <wp:wrapNone/>
              <wp:docPr id="501293929" name="Straight Arrow Connector 501293929"/>
              <wp:cNvGraphicFramePr/>
              <a:graphic xmlns:a="http://schemas.openxmlformats.org/drawingml/2006/main">
                <a:graphicData uri="http://schemas.microsoft.com/office/word/2010/wordprocessingShape">
                  <wps:wsp>
                    <wps:cNvCnPr/>
                    <wps:spPr>
                      <a:xfrm>
                        <a:off x="2502788" y="3780000"/>
                        <a:ext cx="5686425" cy="0"/>
                      </a:xfrm>
                      <a:prstGeom prst="straightConnector1">
                        <a:avLst/>
                      </a:prstGeom>
                      <a:noFill/>
                      <a:ln w="28575" cap="flat" cmpd="sng">
                        <a:solidFill>
                          <a:schemeClr val="dk1"/>
                        </a:solidFill>
                        <a:prstDash val="solid"/>
                        <a:miter lim="800000"/>
                        <a:headEnd type="none" w="sm" len="sm"/>
                        <a:tailEnd type="none" w="sm" len="sm"/>
                      </a:ln>
                    </wps:spPr>
                    <wps:bodyPr/>
                  </wps:wsp>
                </a:graphicData>
              </a:graphic>
            </wp:anchor>
          </w:drawing>
        </mc:Choice>
        <mc:Fallback>
          <w:pict>
            <v:shape w14:anchorId="10497490" id="Straight Arrow Connector 501293929" o:spid="_x0000_s1026" type="#_x0000_t32" style="position:absolute;margin-left:-1pt;margin-top:10pt;width:0;height:2.2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" strokecolor="black [3200]" strokeweight="2.25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85246"/>
    <w:multiLevelType w:val="hybridMultilevel"/>
    <w:tmpl w:val="71509092"/>
    <w:lvl w:ilvl="0" w:tplc="E84438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58776D0"/>
    <w:multiLevelType w:val="hybridMultilevel"/>
    <w:tmpl w:val="479CBF6A"/>
    <w:lvl w:ilvl="0" w:tplc="D6C82D6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66758B7"/>
    <w:multiLevelType w:val="hybridMultilevel"/>
    <w:tmpl w:val="44165FB2"/>
    <w:lvl w:ilvl="0" w:tplc="C5E6B3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0040C47"/>
    <w:multiLevelType w:val="hybridMultilevel"/>
    <w:tmpl w:val="73C6E710"/>
    <w:lvl w:ilvl="0" w:tplc="C5E6B368">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706E10"/>
    <w:multiLevelType w:val="hybridMultilevel"/>
    <w:tmpl w:val="455ADCB8"/>
    <w:lvl w:ilvl="0" w:tplc="A95A5A5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13C2F04"/>
    <w:multiLevelType w:val="hybridMultilevel"/>
    <w:tmpl w:val="F4B0CEF6"/>
    <w:lvl w:ilvl="0" w:tplc="D6C82D6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1420F92"/>
    <w:multiLevelType w:val="hybridMultilevel"/>
    <w:tmpl w:val="9A8ECD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450755"/>
    <w:multiLevelType w:val="hybridMultilevel"/>
    <w:tmpl w:val="EACC145C"/>
    <w:lvl w:ilvl="0" w:tplc="E84438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55E57D3A"/>
    <w:multiLevelType w:val="hybridMultilevel"/>
    <w:tmpl w:val="011AB930"/>
    <w:lvl w:ilvl="0" w:tplc="E8443804">
      <w:start w:val="1"/>
      <w:numFmt w:val="decimal"/>
      <w:lvlText w:val="%1."/>
      <w:lvlJc w:val="left"/>
      <w:pPr>
        <w:ind w:left="1495"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56984C69"/>
    <w:multiLevelType w:val="hybridMultilevel"/>
    <w:tmpl w:val="4CEA3DF8"/>
    <w:lvl w:ilvl="0" w:tplc="D6C82D68">
      <w:start w:val="1"/>
      <w:numFmt w:val="decimal"/>
      <w:lvlText w:val="%1."/>
      <w:lvlJc w:val="left"/>
      <w:pPr>
        <w:ind w:left="1495"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5D1B243F"/>
    <w:multiLevelType w:val="hybridMultilevel"/>
    <w:tmpl w:val="8B164220"/>
    <w:lvl w:ilvl="0" w:tplc="E8443804">
      <w:start w:val="1"/>
      <w:numFmt w:val="decimal"/>
      <w:lvlText w:val="%1."/>
      <w:lvlJc w:val="left"/>
      <w:pPr>
        <w:ind w:left="1495"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5EAC2BB9"/>
    <w:multiLevelType w:val="hybridMultilevel"/>
    <w:tmpl w:val="1DDCF24E"/>
    <w:lvl w:ilvl="0" w:tplc="D258178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6C716F77"/>
    <w:multiLevelType w:val="hybridMultilevel"/>
    <w:tmpl w:val="CDEA00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5948007">
    <w:abstractNumId w:val="6"/>
  </w:num>
  <w:num w:numId="2" w16cid:durableId="1971201800">
    <w:abstractNumId w:val="12"/>
  </w:num>
  <w:num w:numId="3" w16cid:durableId="908879090">
    <w:abstractNumId w:val="2"/>
  </w:num>
  <w:num w:numId="4" w16cid:durableId="1671907370">
    <w:abstractNumId w:val="3"/>
  </w:num>
  <w:num w:numId="5" w16cid:durableId="2002812178">
    <w:abstractNumId w:val="11"/>
  </w:num>
  <w:num w:numId="6" w16cid:durableId="314342416">
    <w:abstractNumId w:val="4"/>
  </w:num>
  <w:num w:numId="7" w16cid:durableId="2058892997">
    <w:abstractNumId w:val="0"/>
  </w:num>
  <w:num w:numId="8" w16cid:durableId="1189025505">
    <w:abstractNumId w:val="10"/>
  </w:num>
  <w:num w:numId="9" w16cid:durableId="381172916">
    <w:abstractNumId w:val="7"/>
  </w:num>
  <w:num w:numId="10" w16cid:durableId="1192497134">
    <w:abstractNumId w:val="8"/>
  </w:num>
  <w:num w:numId="11" w16cid:durableId="195244140">
    <w:abstractNumId w:val="1"/>
  </w:num>
  <w:num w:numId="12" w16cid:durableId="944921109">
    <w:abstractNumId w:val="9"/>
  </w:num>
  <w:num w:numId="13" w16cid:durableId="4014174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9F7"/>
    <w:rsid w:val="000206D2"/>
    <w:rsid w:val="00034438"/>
    <w:rsid w:val="0008468B"/>
    <w:rsid w:val="000F4048"/>
    <w:rsid w:val="001B5B72"/>
    <w:rsid w:val="00205DD0"/>
    <w:rsid w:val="00262310"/>
    <w:rsid w:val="00280040"/>
    <w:rsid w:val="002B1FEE"/>
    <w:rsid w:val="002F3A7F"/>
    <w:rsid w:val="00304C7F"/>
    <w:rsid w:val="00333666"/>
    <w:rsid w:val="003A7BCD"/>
    <w:rsid w:val="003B4EE7"/>
    <w:rsid w:val="003D54E3"/>
    <w:rsid w:val="004069F7"/>
    <w:rsid w:val="00515B71"/>
    <w:rsid w:val="005A700C"/>
    <w:rsid w:val="005B1E31"/>
    <w:rsid w:val="005F6B92"/>
    <w:rsid w:val="00601D0F"/>
    <w:rsid w:val="00676F34"/>
    <w:rsid w:val="006C0AD6"/>
    <w:rsid w:val="006F0159"/>
    <w:rsid w:val="006F5A19"/>
    <w:rsid w:val="00703E2A"/>
    <w:rsid w:val="007D0290"/>
    <w:rsid w:val="00810583"/>
    <w:rsid w:val="00844FC4"/>
    <w:rsid w:val="0086286F"/>
    <w:rsid w:val="00896E62"/>
    <w:rsid w:val="009F2946"/>
    <w:rsid w:val="00A431BD"/>
    <w:rsid w:val="00A46B6F"/>
    <w:rsid w:val="00A60F8D"/>
    <w:rsid w:val="00AB344E"/>
    <w:rsid w:val="00AE6438"/>
    <w:rsid w:val="00B01AE0"/>
    <w:rsid w:val="00B114EB"/>
    <w:rsid w:val="00B41B51"/>
    <w:rsid w:val="00B443ED"/>
    <w:rsid w:val="00BD0933"/>
    <w:rsid w:val="00C0263D"/>
    <w:rsid w:val="00C45833"/>
    <w:rsid w:val="00C52249"/>
    <w:rsid w:val="00C76582"/>
    <w:rsid w:val="00C87D99"/>
    <w:rsid w:val="00D11047"/>
    <w:rsid w:val="00D11066"/>
    <w:rsid w:val="00D279DF"/>
    <w:rsid w:val="00D46E95"/>
    <w:rsid w:val="00D8400F"/>
    <w:rsid w:val="00DA2230"/>
    <w:rsid w:val="00DA626C"/>
    <w:rsid w:val="00DC4D93"/>
    <w:rsid w:val="00DC7C8C"/>
    <w:rsid w:val="00DD518F"/>
    <w:rsid w:val="00E008BF"/>
    <w:rsid w:val="00E11DAA"/>
    <w:rsid w:val="00E37FE4"/>
    <w:rsid w:val="00EA1980"/>
    <w:rsid w:val="00EA4DD2"/>
    <w:rsid w:val="00FB08E9"/>
    <w:rsid w:val="00FE23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CFAB2"/>
  <w15:docId w15:val="{A09F6CBF-D7C0-41BB-B669-F00759CEB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1E6"/>
    <w:rPr>
      <w:lang w:eastAsia="en-GB"/>
    </w:rPr>
  </w:style>
  <w:style w:type="paragraph" w:styleId="Heading1">
    <w:name w:val="heading 1"/>
    <w:basedOn w:val="Normal"/>
    <w:next w:val="Normal"/>
    <w:link w:val="Heading1Char"/>
    <w:uiPriority w:val="9"/>
    <w:qFormat/>
    <w:rsid w:val="008853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885347"/>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semiHidden/>
    <w:unhideWhenUsed/>
    <w:qFormat/>
    <w:rsid w:val="00DB68A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6F41E6"/>
    <w:pPr>
      <w:ind w:firstLine="851"/>
      <w:jc w:val="both"/>
    </w:pPr>
    <w:rPr>
      <w:noProof/>
      <w:szCs w:val="22"/>
      <w:lang w:val="en-US"/>
    </w:rPr>
  </w:style>
  <w:style w:type="paragraph" w:customStyle="1" w:styleId="Default">
    <w:name w:val="Default"/>
    <w:rsid w:val="006F41E6"/>
    <w:pPr>
      <w:autoSpaceDE w:val="0"/>
      <w:autoSpaceDN w:val="0"/>
      <w:adjustRightInd w:val="0"/>
    </w:pPr>
    <w:rPr>
      <w:color w:val="000000"/>
      <w:lang w:val="en-US"/>
    </w:rPr>
  </w:style>
  <w:style w:type="paragraph" w:styleId="Header">
    <w:name w:val="header"/>
    <w:basedOn w:val="Normal"/>
    <w:link w:val="HeaderChar"/>
    <w:uiPriority w:val="99"/>
    <w:unhideWhenUsed/>
    <w:rsid w:val="006F41E6"/>
    <w:pPr>
      <w:tabs>
        <w:tab w:val="center" w:pos="4680"/>
        <w:tab w:val="right" w:pos="9360"/>
      </w:tabs>
      <w:ind w:firstLine="851"/>
      <w:jc w:val="both"/>
    </w:pPr>
    <w:rPr>
      <w:noProof/>
      <w:szCs w:val="22"/>
      <w:lang w:val="en-US" w:eastAsia="en-US"/>
    </w:rPr>
  </w:style>
  <w:style w:type="character" w:customStyle="1" w:styleId="HeaderChar">
    <w:name w:val="Header Char"/>
    <w:basedOn w:val="DefaultParagraphFont"/>
    <w:link w:val="Header"/>
    <w:uiPriority w:val="99"/>
    <w:rsid w:val="006F41E6"/>
    <w:rPr>
      <w:rFonts w:ascii="Times New Roman" w:eastAsia="Times New Roman" w:hAnsi="Times New Roman" w:cs="Times New Roman"/>
      <w:noProof/>
      <w:szCs w:val="22"/>
      <w:lang w:val="en-US"/>
    </w:rPr>
  </w:style>
  <w:style w:type="paragraph" w:styleId="Footer">
    <w:name w:val="footer"/>
    <w:basedOn w:val="Normal"/>
    <w:link w:val="FooterChar"/>
    <w:uiPriority w:val="99"/>
    <w:unhideWhenUsed/>
    <w:rsid w:val="006F41E6"/>
    <w:pPr>
      <w:tabs>
        <w:tab w:val="center" w:pos="4680"/>
        <w:tab w:val="right" w:pos="9360"/>
      </w:tabs>
      <w:ind w:firstLine="851"/>
      <w:jc w:val="both"/>
    </w:pPr>
    <w:rPr>
      <w:noProof/>
      <w:szCs w:val="22"/>
      <w:lang w:val="en-US" w:eastAsia="en-US"/>
    </w:rPr>
  </w:style>
  <w:style w:type="character" w:customStyle="1" w:styleId="FooterChar">
    <w:name w:val="Footer Char"/>
    <w:basedOn w:val="DefaultParagraphFont"/>
    <w:link w:val="Footer"/>
    <w:uiPriority w:val="99"/>
    <w:rsid w:val="006F41E6"/>
    <w:rPr>
      <w:rFonts w:ascii="Times New Roman" w:eastAsia="Times New Roman" w:hAnsi="Times New Roman" w:cs="Times New Roman"/>
      <w:noProof/>
      <w:szCs w:val="22"/>
      <w:lang w:val="en-US"/>
    </w:rPr>
  </w:style>
  <w:style w:type="character" w:styleId="PageNumber">
    <w:name w:val="page number"/>
    <w:basedOn w:val="DefaultParagraphFont"/>
    <w:uiPriority w:val="99"/>
    <w:semiHidden/>
    <w:unhideWhenUsed/>
    <w:rsid w:val="006F41E6"/>
    <w:rPr>
      <w:rFonts w:cs="Times New Roman"/>
    </w:rPr>
  </w:style>
  <w:style w:type="paragraph" w:customStyle="1" w:styleId="FormatPendahuluan">
    <w:name w:val="Format Pendahuluan"/>
    <w:basedOn w:val="NoSpacing"/>
    <w:qFormat/>
    <w:rsid w:val="006F41E6"/>
    <w:pPr>
      <w:ind w:firstLine="0"/>
    </w:pPr>
    <w:rPr>
      <w:rFonts w:ascii="Candara" w:hAnsi="Candara"/>
      <w:b/>
      <w:color w:val="ED7D31" w:themeColor="accent2"/>
      <w:sz w:val="26"/>
      <w:szCs w:val="26"/>
      <w:lang w:val="id-ID"/>
    </w:rPr>
  </w:style>
  <w:style w:type="paragraph" w:customStyle="1" w:styleId="HeaderJurnalyangakanterbit">
    <w:name w:val="Header Jurnal yang akan terbit"/>
    <w:basedOn w:val="Footer"/>
    <w:qFormat/>
    <w:rsid w:val="006F41E6"/>
    <w:pPr>
      <w:ind w:firstLine="0"/>
      <w:jc w:val="right"/>
    </w:pPr>
    <w:rPr>
      <w:rFonts w:ascii="Franklin Gothic Medium Cond" w:hAnsi="Franklin Gothic Medium Cond"/>
      <w:sz w:val="20"/>
      <w:szCs w:val="20"/>
    </w:rPr>
  </w:style>
  <w:style w:type="paragraph" w:styleId="ListParagraph">
    <w:name w:val="List Paragraph"/>
    <w:basedOn w:val="Normal"/>
    <w:link w:val="ListParagraphChar"/>
    <w:uiPriority w:val="34"/>
    <w:qFormat/>
    <w:rsid w:val="006F41E6"/>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6F4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13E9C"/>
    <w:rPr>
      <w:color w:val="0000FF"/>
      <w:u w:val="single"/>
    </w:rPr>
  </w:style>
  <w:style w:type="character" w:customStyle="1" w:styleId="ListParagraphChar">
    <w:name w:val="List Paragraph Char"/>
    <w:basedOn w:val="DefaultParagraphFont"/>
    <w:link w:val="ListParagraph"/>
    <w:uiPriority w:val="34"/>
    <w:rsid w:val="00013E9C"/>
    <w:rPr>
      <w:rFonts w:ascii="Calibri" w:eastAsia="Calibri" w:hAnsi="Calibri" w:cs="Times New Roman"/>
      <w:sz w:val="22"/>
      <w:szCs w:val="22"/>
      <w:lang w:val="id-ID"/>
    </w:rPr>
  </w:style>
  <w:style w:type="paragraph" w:customStyle="1" w:styleId="EndNoteBibliography">
    <w:name w:val="EndNote Bibliography"/>
    <w:basedOn w:val="Normal"/>
    <w:link w:val="EndNoteBibliographyChar"/>
    <w:rsid w:val="00013E9C"/>
    <w:pPr>
      <w:spacing w:after="160"/>
    </w:pPr>
    <w:rPr>
      <w:rFonts w:eastAsia="Calibri"/>
      <w:noProof/>
      <w:sz w:val="22"/>
      <w:szCs w:val="22"/>
      <w:lang w:val="en-US" w:eastAsia="en-US"/>
    </w:rPr>
  </w:style>
  <w:style w:type="character" w:customStyle="1" w:styleId="EndNoteBibliographyChar">
    <w:name w:val="EndNote Bibliography Char"/>
    <w:basedOn w:val="ListParagraphChar"/>
    <w:link w:val="EndNoteBibliography"/>
    <w:rsid w:val="00013E9C"/>
    <w:rPr>
      <w:rFonts w:ascii="Times New Roman" w:eastAsia="Calibri" w:hAnsi="Times New Roman" w:cs="Times New Roman"/>
      <w:noProof/>
      <w:sz w:val="22"/>
      <w:szCs w:val="22"/>
      <w:lang w:val="en-US"/>
    </w:rPr>
  </w:style>
  <w:style w:type="paragraph" w:styleId="BalloonText">
    <w:name w:val="Balloon Text"/>
    <w:basedOn w:val="Normal"/>
    <w:link w:val="BalloonTextChar"/>
    <w:uiPriority w:val="99"/>
    <w:semiHidden/>
    <w:unhideWhenUsed/>
    <w:rsid w:val="00EC0242"/>
    <w:rPr>
      <w:sz w:val="18"/>
      <w:szCs w:val="18"/>
    </w:rPr>
  </w:style>
  <w:style w:type="character" w:customStyle="1" w:styleId="BalloonTextChar">
    <w:name w:val="Balloon Text Char"/>
    <w:basedOn w:val="DefaultParagraphFont"/>
    <w:link w:val="BalloonText"/>
    <w:uiPriority w:val="99"/>
    <w:semiHidden/>
    <w:rsid w:val="00EC0242"/>
    <w:rPr>
      <w:rFonts w:ascii="Times New Roman" w:eastAsia="Times New Roman" w:hAnsi="Times New Roman" w:cs="Times New Roman"/>
      <w:sz w:val="18"/>
      <w:szCs w:val="18"/>
      <w:lang w:eastAsia="en-GB"/>
    </w:rPr>
  </w:style>
  <w:style w:type="character" w:customStyle="1" w:styleId="fontstyle01">
    <w:name w:val="fontstyle01"/>
    <w:basedOn w:val="DefaultParagraphFont"/>
    <w:rsid w:val="0071305B"/>
    <w:rPr>
      <w:rFonts w:ascii="TimesNewRomanPSMT" w:hAnsi="TimesNewRomanPSMT" w:hint="default"/>
      <w:b w:val="0"/>
      <w:bCs w:val="0"/>
      <w:i w:val="0"/>
      <w:iCs w:val="0"/>
      <w:color w:val="000000"/>
      <w:sz w:val="20"/>
      <w:szCs w:val="20"/>
    </w:rPr>
  </w:style>
  <w:style w:type="paragraph" w:styleId="FootnoteText">
    <w:name w:val="footnote text"/>
    <w:basedOn w:val="Normal"/>
    <w:link w:val="FootnoteTextChar"/>
    <w:semiHidden/>
    <w:unhideWhenUsed/>
    <w:rsid w:val="00207464"/>
    <w:rPr>
      <w:sz w:val="20"/>
      <w:szCs w:val="20"/>
      <w:lang w:val="en-US" w:eastAsia="en-US"/>
    </w:rPr>
  </w:style>
  <w:style w:type="character" w:customStyle="1" w:styleId="FootnoteTextChar">
    <w:name w:val="Footnote Text Char"/>
    <w:basedOn w:val="DefaultParagraphFont"/>
    <w:link w:val="FootnoteText"/>
    <w:semiHidden/>
    <w:rsid w:val="00207464"/>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655BED"/>
    <w:rPr>
      <w:sz w:val="16"/>
      <w:szCs w:val="16"/>
    </w:rPr>
  </w:style>
  <w:style w:type="paragraph" w:styleId="CommentText">
    <w:name w:val="annotation text"/>
    <w:basedOn w:val="Normal"/>
    <w:link w:val="CommentTextChar"/>
    <w:uiPriority w:val="99"/>
    <w:semiHidden/>
    <w:unhideWhenUsed/>
    <w:rsid w:val="00655BED"/>
    <w:rPr>
      <w:sz w:val="20"/>
      <w:szCs w:val="20"/>
    </w:rPr>
  </w:style>
  <w:style w:type="character" w:customStyle="1" w:styleId="CommentTextChar">
    <w:name w:val="Comment Text Char"/>
    <w:basedOn w:val="DefaultParagraphFont"/>
    <w:link w:val="CommentText"/>
    <w:uiPriority w:val="99"/>
    <w:semiHidden/>
    <w:rsid w:val="00655BE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55BED"/>
    <w:rPr>
      <w:b/>
      <w:bCs/>
    </w:rPr>
  </w:style>
  <w:style w:type="character" w:customStyle="1" w:styleId="CommentSubjectChar">
    <w:name w:val="Comment Subject Char"/>
    <w:basedOn w:val="CommentTextChar"/>
    <w:link w:val="CommentSubject"/>
    <w:uiPriority w:val="99"/>
    <w:semiHidden/>
    <w:rsid w:val="00655BED"/>
    <w:rPr>
      <w:rFonts w:ascii="Times New Roman" w:eastAsia="Times New Roman" w:hAnsi="Times New Roman" w:cs="Times New Roman"/>
      <w:b/>
      <w:bCs/>
      <w:sz w:val="20"/>
      <w:szCs w:val="20"/>
      <w:lang w:eastAsia="en-GB"/>
    </w:rPr>
  </w:style>
  <w:style w:type="table" w:customStyle="1" w:styleId="PlainTable31">
    <w:name w:val="Plain Table 31"/>
    <w:basedOn w:val="TableNormal"/>
    <w:uiPriority w:val="43"/>
    <w:rsid w:val="002F54C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DefaultParagraphFont"/>
    <w:uiPriority w:val="99"/>
    <w:semiHidden/>
    <w:unhideWhenUsed/>
    <w:rsid w:val="000B39B8"/>
    <w:rPr>
      <w:color w:val="605E5C"/>
      <w:shd w:val="clear" w:color="auto" w:fill="E1DFDD"/>
    </w:rPr>
  </w:style>
  <w:style w:type="character" w:styleId="PlaceholderText">
    <w:name w:val="Placeholder Text"/>
    <w:basedOn w:val="DefaultParagraphFont"/>
    <w:uiPriority w:val="99"/>
    <w:semiHidden/>
    <w:rsid w:val="00840B2C"/>
    <w:rPr>
      <w:color w:val="808080"/>
    </w:rPr>
  </w:style>
  <w:style w:type="character" w:customStyle="1" w:styleId="issue-heading">
    <w:name w:val="issue-heading"/>
    <w:basedOn w:val="DefaultParagraphFont"/>
    <w:rsid w:val="00885347"/>
  </w:style>
  <w:style w:type="character" w:customStyle="1" w:styleId="apple-converted-space">
    <w:name w:val="apple-converted-space"/>
    <w:basedOn w:val="DefaultParagraphFont"/>
    <w:rsid w:val="00885347"/>
  </w:style>
  <w:style w:type="character" w:customStyle="1" w:styleId="hlfld-contribauthor">
    <w:name w:val="hlfld-contribauthor"/>
    <w:basedOn w:val="DefaultParagraphFont"/>
    <w:rsid w:val="00885347"/>
  </w:style>
  <w:style w:type="character" w:customStyle="1" w:styleId="nlmgiven-names">
    <w:name w:val="nlm_given-names"/>
    <w:basedOn w:val="DefaultParagraphFont"/>
    <w:rsid w:val="00885347"/>
  </w:style>
  <w:style w:type="character" w:customStyle="1" w:styleId="nlmyear">
    <w:name w:val="nlm_year"/>
    <w:basedOn w:val="DefaultParagraphFont"/>
    <w:rsid w:val="00885347"/>
  </w:style>
  <w:style w:type="character" w:customStyle="1" w:styleId="nlmpublisher-name">
    <w:name w:val="nlm_publisher-name"/>
    <w:basedOn w:val="DefaultParagraphFont"/>
    <w:rsid w:val="00885347"/>
  </w:style>
  <w:style w:type="character" w:customStyle="1" w:styleId="Heading2Char">
    <w:name w:val="Heading 2 Char"/>
    <w:basedOn w:val="DefaultParagraphFont"/>
    <w:link w:val="Heading2"/>
    <w:uiPriority w:val="9"/>
    <w:rsid w:val="00885347"/>
    <w:rPr>
      <w:rFonts w:ascii="Times New Roman" w:eastAsia="Times New Roman" w:hAnsi="Times New Roman" w:cs="Times New Roman"/>
      <w:b/>
      <w:bCs/>
      <w:sz w:val="36"/>
      <w:szCs w:val="36"/>
      <w:lang w:val="en-US"/>
    </w:rPr>
  </w:style>
  <w:style w:type="character" w:customStyle="1" w:styleId="separator">
    <w:name w:val="separator"/>
    <w:basedOn w:val="DefaultParagraphFont"/>
    <w:rsid w:val="00885347"/>
  </w:style>
  <w:style w:type="character" w:customStyle="1" w:styleId="nlmsource">
    <w:name w:val="nlm_source"/>
    <w:basedOn w:val="DefaultParagraphFont"/>
    <w:rsid w:val="00885347"/>
  </w:style>
  <w:style w:type="character" w:customStyle="1" w:styleId="off-screen">
    <w:name w:val="off-screen"/>
    <w:basedOn w:val="DefaultParagraphFont"/>
    <w:rsid w:val="00885347"/>
  </w:style>
  <w:style w:type="paragraph" w:customStyle="1" w:styleId="active">
    <w:name w:val="active"/>
    <w:basedOn w:val="Normal"/>
    <w:rsid w:val="00885347"/>
    <w:pPr>
      <w:spacing w:before="100" w:beforeAutospacing="1" w:after="100" w:afterAutospacing="1"/>
    </w:pPr>
    <w:rPr>
      <w:lang w:val="en-US" w:eastAsia="en-US"/>
    </w:rPr>
  </w:style>
  <w:style w:type="character" w:customStyle="1" w:styleId="hlfld-title">
    <w:name w:val="hlfld-title"/>
    <w:basedOn w:val="DefaultParagraphFont"/>
    <w:rsid w:val="00885347"/>
  </w:style>
  <w:style w:type="character" w:customStyle="1" w:styleId="maintextleft">
    <w:name w:val="maintextleft"/>
    <w:basedOn w:val="DefaultParagraphFont"/>
    <w:rsid w:val="00885347"/>
  </w:style>
  <w:style w:type="character" w:styleId="Strong">
    <w:name w:val="Strong"/>
    <w:basedOn w:val="DefaultParagraphFont"/>
    <w:uiPriority w:val="22"/>
    <w:qFormat/>
    <w:rsid w:val="00885347"/>
    <w:rPr>
      <w:b/>
      <w:bCs/>
    </w:rPr>
  </w:style>
  <w:style w:type="character" w:customStyle="1" w:styleId="Heading1Char">
    <w:name w:val="Heading 1 Char"/>
    <w:basedOn w:val="DefaultParagraphFont"/>
    <w:link w:val="Heading1"/>
    <w:uiPriority w:val="9"/>
    <w:rsid w:val="00885347"/>
    <w:rPr>
      <w:rFonts w:asciiTheme="majorHAnsi" w:eastAsiaTheme="majorEastAsia" w:hAnsiTheme="majorHAnsi" w:cstheme="majorBidi"/>
      <w:color w:val="2F5496" w:themeColor="accent1" w:themeShade="BF"/>
      <w:sz w:val="32"/>
      <w:szCs w:val="32"/>
      <w:lang w:eastAsia="en-GB"/>
    </w:rPr>
  </w:style>
  <w:style w:type="character" w:customStyle="1" w:styleId="title-text">
    <w:name w:val="title-text"/>
    <w:basedOn w:val="DefaultParagraphFont"/>
    <w:rsid w:val="00885347"/>
  </w:style>
  <w:style w:type="character" w:customStyle="1" w:styleId="sr-only">
    <w:name w:val="sr-only"/>
    <w:basedOn w:val="DefaultParagraphFont"/>
    <w:rsid w:val="00885347"/>
  </w:style>
  <w:style w:type="character" w:customStyle="1" w:styleId="text">
    <w:name w:val="text"/>
    <w:basedOn w:val="DefaultParagraphFont"/>
    <w:rsid w:val="00885347"/>
  </w:style>
  <w:style w:type="character" w:customStyle="1" w:styleId="Heading3Char">
    <w:name w:val="Heading 3 Char"/>
    <w:basedOn w:val="DefaultParagraphFont"/>
    <w:link w:val="Heading3"/>
    <w:uiPriority w:val="9"/>
    <w:semiHidden/>
    <w:rsid w:val="00DB68A6"/>
    <w:rPr>
      <w:rFonts w:asciiTheme="majorHAnsi" w:eastAsiaTheme="majorEastAsia" w:hAnsiTheme="majorHAnsi" w:cstheme="majorBidi"/>
      <w:color w:val="1F3763" w:themeColor="accent1" w:themeShade="7F"/>
      <w:lang w:eastAsia="en-GB"/>
    </w:rPr>
  </w:style>
  <w:style w:type="character" w:customStyle="1" w:styleId="NoSpacingChar">
    <w:name w:val="No Spacing Char"/>
    <w:basedOn w:val="DefaultParagraphFont"/>
    <w:link w:val="NoSpacing"/>
    <w:uiPriority w:val="1"/>
    <w:rsid w:val="00194A1D"/>
    <w:rPr>
      <w:rFonts w:ascii="Times New Roman" w:eastAsia="Times New Roman" w:hAnsi="Times New Roman" w:cs="Times New Roman"/>
      <w:noProof/>
      <w:szCs w:val="22"/>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A46B6F"/>
    <w:pPr>
      <w:spacing w:before="100" w:beforeAutospacing="1" w:after="100" w:afterAutospacing="1"/>
    </w:pPr>
    <w:rPr>
      <w:lang w:val="en-US" w:eastAsia="en-US"/>
    </w:rPr>
  </w:style>
  <w:style w:type="table" w:styleId="PlainTable2">
    <w:name w:val="Plain Table 2"/>
    <w:basedOn w:val="TableNormal"/>
    <w:uiPriority w:val="42"/>
    <w:rsid w:val="00C87D9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205D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5741">
      <w:bodyDiv w:val="1"/>
      <w:marLeft w:val="0"/>
      <w:marRight w:val="0"/>
      <w:marTop w:val="0"/>
      <w:marBottom w:val="0"/>
      <w:divBdr>
        <w:top w:val="none" w:sz="0" w:space="0" w:color="auto"/>
        <w:left w:val="none" w:sz="0" w:space="0" w:color="auto"/>
        <w:bottom w:val="none" w:sz="0" w:space="0" w:color="auto"/>
        <w:right w:val="none" w:sz="0" w:space="0" w:color="auto"/>
      </w:divBdr>
    </w:div>
    <w:div w:id="47341573">
      <w:bodyDiv w:val="1"/>
      <w:marLeft w:val="0"/>
      <w:marRight w:val="0"/>
      <w:marTop w:val="0"/>
      <w:marBottom w:val="0"/>
      <w:divBdr>
        <w:top w:val="none" w:sz="0" w:space="0" w:color="auto"/>
        <w:left w:val="none" w:sz="0" w:space="0" w:color="auto"/>
        <w:bottom w:val="none" w:sz="0" w:space="0" w:color="auto"/>
        <w:right w:val="none" w:sz="0" w:space="0" w:color="auto"/>
      </w:divBdr>
    </w:div>
    <w:div w:id="93719581">
      <w:bodyDiv w:val="1"/>
      <w:marLeft w:val="0"/>
      <w:marRight w:val="0"/>
      <w:marTop w:val="0"/>
      <w:marBottom w:val="0"/>
      <w:divBdr>
        <w:top w:val="none" w:sz="0" w:space="0" w:color="auto"/>
        <w:left w:val="none" w:sz="0" w:space="0" w:color="auto"/>
        <w:bottom w:val="none" w:sz="0" w:space="0" w:color="auto"/>
        <w:right w:val="none" w:sz="0" w:space="0" w:color="auto"/>
      </w:divBdr>
    </w:div>
    <w:div w:id="108478168">
      <w:bodyDiv w:val="1"/>
      <w:marLeft w:val="0"/>
      <w:marRight w:val="0"/>
      <w:marTop w:val="0"/>
      <w:marBottom w:val="0"/>
      <w:divBdr>
        <w:top w:val="none" w:sz="0" w:space="0" w:color="auto"/>
        <w:left w:val="none" w:sz="0" w:space="0" w:color="auto"/>
        <w:bottom w:val="none" w:sz="0" w:space="0" w:color="auto"/>
        <w:right w:val="none" w:sz="0" w:space="0" w:color="auto"/>
      </w:divBdr>
    </w:div>
    <w:div w:id="134689549">
      <w:bodyDiv w:val="1"/>
      <w:marLeft w:val="0"/>
      <w:marRight w:val="0"/>
      <w:marTop w:val="0"/>
      <w:marBottom w:val="0"/>
      <w:divBdr>
        <w:top w:val="none" w:sz="0" w:space="0" w:color="auto"/>
        <w:left w:val="none" w:sz="0" w:space="0" w:color="auto"/>
        <w:bottom w:val="none" w:sz="0" w:space="0" w:color="auto"/>
        <w:right w:val="none" w:sz="0" w:space="0" w:color="auto"/>
      </w:divBdr>
    </w:div>
    <w:div w:id="170872206">
      <w:bodyDiv w:val="1"/>
      <w:marLeft w:val="0"/>
      <w:marRight w:val="0"/>
      <w:marTop w:val="0"/>
      <w:marBottom w:val="0"/>
      <w:divBdr>
        <w:top w:val="none" w:sz="0" w:space="0" w:color="auto"/>
        <w:left w:val="none" w:sz="0" w:space="0" w:color="auto"/>
        <w:bottom w:val="none" w:sz="0" w:space="0" w:color="auto"/>
        <w:right w:val="none" w:sz="0" w:space="0" w:color="auto"/>
      </w:divBdr>
    </w:div>
    <w:div w:id="273099338">
      <w:bodyDiv w:val="1"/>
      <w:marLeft w:val="0"/>
      <w:marRight w:val="0"/>
      <w:marTop w:val="0"/>
      <w:marBottom w:val="0"/>
      <w:divBdr>
        <w:top w:val="none" w:sz="0" w:space="0" w:color="auto"/>
        <w:left w:val="none" w:sz="0" w:space="0" w:color="auto"/>
        <w:bottom w:val="none" w:sz="0" w:space="0" w:color="auto"/>
        <w:right w:val="none" w:sz="0" w:space="0" w:color="auto"/>
      </w:divBdr>
    </w:div>
    <w:div w:id="328993162">
      <w:bodyDiv w:val="1"/>
      <w:marLeft w:val="0"/>
      <w:marRight w:val="0"/>
      <w:marTop w:val="0"/>
      <w:marBottom w:val="0"/>
      <w:divBdr>
        <w:top w:val="none" w:sz="0" w:space="0" w:color="auto"/>
        <w:left w:val="none" w:sz="0" w:space="0" w:color="auto"/>
        <w:bottom w:val="none" w:sz="0" w:space="0" w:color="auto"/>
        <w:right w:val="none" w:sz="0" w:space="0" w:color="auto"/>
      </w:divBdr>
    </w:div>
    <w:div w:id="333722512">
      <w:bodyDiv w:val="1"/>
      <w:marLeft w:val="0"/>
      <w:marRight w:val="0"/>
      <w:marTop w:val="0"/>
      <w:marBottom w:val="0"/>
      <w:divBdr>
        <w:top w:val="none" w:sz="0" w:space="0" w:color="auto"/>
        <w:left w:val="none" w:sz="0" w:space="0" w:color="auto"/>
        <w:bottom w:val="none" w:sz="0" w:space="0" w:color="auto"/>
        <w:right w:val="none" w:sz="0" w:space="0" w:color="auto"/>
      </w:divBdr>
    </w:div>
    <w:div w:id="356547074">
      <w:bodyDiv w:val="1"/>
      <w:marLeft w:val="0"/>
      <w:marRight w:val="0"/>
      <w:marTop w:val="0"/>
      <w:marBottom w:val="0"/>
      <w:divBdr>
        <w:top w:val="none" w:sz="0" w:space="0" w:color="auto"/>
        <w:left w:val="none" w:sz="0" w:space="0" w:color="auto"/>
        <w:bottom w:val="none" w:sz="0" w:space="0" w:color="auto"/>
        <w:right w:val="none" w:sz="0" w:space="0" w:color="auto"/>
      </w:divBdr>
    </w:div>
    <w:div w:id="432288162">
      <w:bodyDiv w:val="1"/>
      <w:marLeft w:val="0"/>
      <w:marRight w:val="0"/>
      <w:marTop w:val="0"/>
      <w:marBottom w:val="0"/>
      <w:divBdr>
        <w:top w:val="none" w:sz="0" w:space="0" w:color="auto"/>
        <w:left w:val="none" w:sz="0" w:space="0" w:color="auto"/>
        <w:bottom w:val="none" w:sz="0" w:space="0" w:color="auto"/>
        <w:right w:val="none" w:sz="0" w:space="0" w:color="auto"/>
      </w:divBdr>
    </w:div>
    <w:div w:id="574824808">
      <w:bodyDiv w:val="1"/>
      <w:marLeft w:val="0"/>
      <w:marRight w:val="0"/>
      <w:marTop w:val="0"/>
      <w:marBottom w:val="0"/>
      <w:divBdr>
        <w:top w:val="none" w:sz="0" w:space="0" w:color="auto"/>
        <w:left w:val="none" w:sz="0" w:space="0" w:color="auto"/>
        <w:bottom w:val="none" w:sz="0" w:space="0" w:color="auto"/>
        <w:right w:val="none" w:sz="0" w:space="0" w:color="auto"/>
      </w:divBdr>
      <w:divsChild>
        <w:div w:id="1979215737">
          <w:marLeft w:val="0"/>
          <w:marRight w:val="0"/>
          <w:marTop w:val="0"/>
          <w:marBottom w:val="0"/>
          <w:divBdr>
            <w:top w:val="none" w:sz="0" w:space="0" w:color="auto"/>
            <w:left w:val="none" w:sz="0" w:space="0" w:color="auto"/>
            <w:bottom w:val="none" w:sz="0" w:space="0" w:color="auto"/>
            <w:right w:val="none" w:sz="0" w:space="0" w:color="auto"/>
          </w:divBdr>
          <w:divsChild>
            <w:div w:id="1001854036">
              <w:marLeft w:val="0"/>
              <w:marRight w:val="0"/>
              <w:marTop w:val="0"/>
              <w:marBottom w:val="0"/>
              <w:divBdr>
                <w:top w:val="none" w:sz="0" w:space="0" w:color="auto"/>
                <w:left w:val="none" w:sz="0" w:space="0" w:color="auto"/>
                <w:bottom w:val="none" w:sz="0" w:space="0" w:color="auto"/>
                <w:right w:val="none" w:sz="0" w:space="0" w:color="auto"/>
              </w:divBdr>
              <w:divsChild>
                <w:div w:id="1351953689">
                  <w:marLeft w:val="0"/>
                  <w:marRight w:val="0"/>
                  <w:marTop w:val="0"/>
                  <w:marBottom w:val="0"/>
                  <w:divBdr>
                    <w:top w:val="none" w:sz="0" w:space="0" w:color="auto"/>
                    <w:left w:val="none" w:sz="0" w:space="0" w:color="auto"/>
                    <w:bottom w:val="none" w:sz="0" w:space="0" w:color="auto"/>
                    <w:right w:val="none" w:sz="0" w:space="0" w:color="auto"/>
                  </w:divBdr>
                  <w:divsChild>
                    <w:div w:id="1525241684">
                      <w:marLeft w:val="0"/>
                      <w:marRight w:val="0"/>
                      <w:marTop w:val="0"/>
                      <w:marBottom w:val="0"/>
                      <w:divBdr>
                        <w:top w:val="none" w:sz="0" w:space="0" w:color="auto"/>
                        <w:left w:val="none" w:sz="0" w:space="0" w:color="auto"/>
                        <w:bottom w:val="none" w:sz="0" w:space="0" w:color="auto"/>
                        <w:right w:val="none" w:sz="0" w:space="0" w:color="auto"/>
                      </w:divBdr>
                      <w:divsChild>
                        <w:div w:id="274486637">
                          <w:marLeft w:val="0"/>
                          <w:marRight w:val="0"/>
                          <w:marTop w:val="0"/>
                          <w:marBottom w:val="0"/>
                          <w:divBdr>
                            <w:top w:val="none" w:sz="0" w:space="0" w:color="auto"/>
                            <w:left w:val="none" w:sz="0" w:space="0" w:color="auto"/>
                            <w:bottom w:val="none" w:sz="0" w:space="0" w:color="auto"/>
                            <w:right w:val="none" w:sz="0" w:space="0" w:color="auto"/>
                          </w:divBdr>
                          <w:divsChild>
                            <w:div w:id="26755487">
                              <w:marLeft w:val="0"/>
                              <w:marRight w:val="0"/>
                              <w:marTop w:val="0"/>
                              <w:marBottom w:val="0"/>
                              <w:divBdr>
                                <w:top w:val="none" w:sz="0" w:space="0" w:color="auto"/>
                                <w:left w:val="none" w:sz="0" w:space="0" w:color="auto"/>
                                <w:bottom w:val="none" w:sz="0" w:space="0" w:color="auto"/>
                                <w:right w:val="none" w:sz="0" w:space="0" w:color="auto"/>
                              </w:divBdr>
                              <w:divsChild>
                                <w:div w:id="3848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5943665">
      <w:bodyDiv w:val="1"/>
      <w:marLeft w:val="0"/>
      <w:marRight w:val="0"/>
      <w:marTop w:val="0"/>
      <w:marBottom w:val="0"/>
      <w:divBdr>
        <w:top w:val="none" w:sz="0" w:space="0" w:color="auto"/>
        <w:left w:val="none" w:sz="0" w:space="0" w:color="auto"/>
        <w:bottom w:val="none" w:sz="0" w:space="0" w:color="auto"/>
        <w:right w:val="none" w:sz="0" w:space="0" w:color="auto"/>
      </w:divBdr>
    </w:div>
    <w:div w:id="601491474">
      <w:bodyDiv w:val="1"/>
      <w:marLeft w:val="0"/>
      <w:marRight w:val="0"/>
      <w:marTop w:val="0"/>
      <w:marBottom w:val="0"/>
      <w:divBdr>
        <w:top w:val="none" w:sz="0" w:space="0" w:color="auto"/>
        <w:left w:val="none" w:sz="0" w:space="0" w:color="auto"/>
        <w:bottom w:val="none" w:sz="0" w:space="0" w:color="auto"/>
        <w:right w:val="none" w:sz="0" w:space="0" w:color="auto"/>
      </w:divBdr>
    </w:div>
    <w:div w:id="615525742">
      <w:bodyDiv w:val="1"/>
      <w:marLeft w:val="0"/>
      <w:marRight w:val="0"/>
      <w:marTop w:val="0"/>
      <w:marBottom w:val="0"/>
      <w:divBdr>
        <w:top w:val="none" w:sz="0" w:space="0" w:color="auto"/>
        <w:left w:val="none" w:sz="0" w:space="0" w:color="auto"/>
        <w:bottom w:val="none" w:sz="0" w:space="0" w:color="auto"/>
        <w:right w:val="none" w:sz="0" w:space="0" w:color="auto"/>
      </w:divBdr>
    </w:div>
    <w:div w:id="808985010">
      <w:bodyDiv w:val="1"/>
      <w:marLeft w:val="0"/>
      <w:marRight w:val="0"/>
      <w:marTop w:val="0"/>
      <w:marBottom w:val="0"/>
      <w:divBdr>
        <w:top w:val="none" w:sz="0" w:space="0" w:color="auto"/>
        <w:left w:val="none" w:sz="0" w:space="0" w:color="auto"/>
        <w:bottom w:val="none" w:sz="0" w:space="0" w:color="auto"/>
        <w:right w:val="none" w:sz="0" w:space="0" w:color="auto"/>
      </w:divBdr>
    </w:div>
    <w:div w:id="856697709">
      <w:bodyDiv w:val="1"/>
      <w:marLeft w:val="0"/>
      <w:marRight w:val="0"/>
      <w:marTop w:val="0"/>
      <w:marBottom w:val="0"/>
      <w:divBdr>
        <w:top w:val="none" w:sz="0" w:space="0" w:color="auto"/>
        <w:left w:val="none" w:sz="0" w:space="0" w:color="auto"/>
        <w:bottom w:val="none" w:sz="0" w:space="0" w:color="auto"/>
        <w:right w:val="none" w:sz="0" w:space="0" w:color="auto"/>
      </w:divBdr>
    </w:div>
    <w:div w:id="921528112">
      <w:bodyDiv w:val="1"/>
      <w:marLeft w:val="0"/>
      <w:marRight w:val="0"/>
      <w:marTop w:val="0"/>
      <w:marBottom w:val="0"/>
      <w:divBdr>
        <w:top w:val="none" w:sz="0" w:space="0" w:color="auto"/>
        <w:left w:val="none" w:sz="0" w:space="0" w:color="auto"/>
        <w:bottom w:val="none" w:sz="0" w:space="0" w:color="auto"/>
        <w:right w:val="none" w:sz="0" w:space="0" w:color="auto"/>
      </w:divBdr>
    </w:div>
    <w:div w:id="924344980">
      <w:bodyDiv w:val="1"/>
      <w:marLeft w:val="0"/>
      <w:marRight w:val="0"/>
      <w:marTop w:val="0"/>
      <w:marBottom w:val="0"/>
      <w:divBdr>
        <w:top w:val="none" w:sz="0" w:space="0" w:color="auto"/>
        <w:left w:val="none" w:sz="0" w:space="0" w:color="auto"/>
        <w:bottom w:val="none" w:sz="0" w:space="0" w:color="auto"/>
        <w:right w:val="none" w:sz="0" w:space="0" w:color="auto"/>
      </w:divBdr>
    </w:div>
    <w:div w:id="968172777">
      <w:bodyDiv w:val="1"/>
      <w:marLeft w:val="0"/>
      <w:marRight w:val="0"/>
      <w:marTop w:val="0"/>
      <w:marBottom w:val="0"/>
      <w:divBdr>
        <w:top w:val="none" w:sz="0" w:space="0" w:color="auto"/>
        <w:left w:val="none" w:sz="0" w:space="0" w:color="auto"/>
        <w:bottom w:val="none" w:sz="0" w:space="0" w:color="auto"/>
        <w:right w:val="none" w:sz="0" w:space="0" w:color="auto"/>
      </w:divBdr>
    </w:div>
    <w:div w:id="1022323853">
      <w:bodyDiv w:val="1"/>
      <w:marLeft w:val="0"/>
      <w:marRight w:val="0"/>
      <w:marTop w:val="0"/>
      <w:marBottom w:val="0"/>
      <w:divBdr>
        <w:top w:val="none" w:sz="0" w:space="0" w:color="auto"/>
        <w:left w:val="none" w:sz="0" w:space="0" w:color="auto"/>
        <w:bottom w:val="none" w:sz="0" w:space="0" w:color="auto"/>
        <w:right w:val="none" w:sz="0" w:space="0" w:color="auto"/>
      </w:divBdr>
    </w:div>
    <w:div w:id="1086225421">
      <w:bodyDiv w:val="1"/>
      <w:marLeft w:val="0"/>
      <w:marRight w:val="0"/>
      <w:marTop w:val="0"/>
      <w:marBottom w:val="0"/>
      <w:divBdr>
        <w:top w:val="none" w:sz="0" w:space="0" w:color="auto"/>
        <w:left w:val="none" w:sz="0" w:space="0" w:color="auto"/>
        <w:bottom w:val="none" w:sz="0" w:space="0" w:color="auto"/>
        <w:right w:val="none" w:sz="0" w:space="0" w:color="auto"/>
      </w:divBdr>
    </w:div>
    <w:div w:id="1120997856">
      <w:bodyDiv w:val="1"/>
      <w:marLeft w:val="0"/>
      <w:marRight w:val="0"/>
      <w:marTop w:val="0"/>
      <w:marBottom w:val="0"/>
      <w:divBdr>
        <w:top w:val="none" w:sz="0" w:space="0" w:color="auto"/>
        <w:left w:val="none" w:sz="0" w:space="0" w:color="auto"/>
        <w:bottom w:val="none" w:sz="0" w:space="0" w:color="auto"/>
        <w:right w:val="none" w:sz="0" w:space="0" w:color="auto"/>
      </w:divBdr>
    </w:div>
    <w:div w:id="1218322507">
      <w:bodyDiv w:val="1"/>
      <w:marLeft w:val="0"/>
      <w:marRight w:val="0"/>
      <w:marTop w:val="0"/>
      <w:marBottom w:val="0"/>
      <w:divBdr>
        <w:top w:val="none" w:sz="0" w:space="0" w:color="auto"/>
        <w:left w:val="none" w:sz="0" w:space="0" w:color="auto"/>
        <w:bottom w:val="none" w:sz="0" w:space="0" w:color="auto"/>
        <w:right w:val="none" w:sz="0" w:space="0" w:color="auto"/>
      </w:divBdr>
    </w:div>
    <w:div w:id="1322541614">
      <w:bodyDiv w:val="1"/>
      <w:marLeft w:val="0"/>
      <w:marRight w:val="0"/>
      <w:marTop w:val="0"/>
      <w:marBottom w:val="0"/>
      <w:divBdr>
        <w:top w:val="none" w:sz="0" w:space="0" w:color="auto"/>
        <w:left w:val="none" w:sz="0" w:space="0" w:color="auto"/>
        <w:bottom w:val="none" w:sz="0" w:space="0" w:color="auto"/>
        <w:right w:val="none" w:sz="0" w:space="0" w:color="auto"/>
      </w:divBdr>
    </w:div>
    <w:div w:id="1413429683">
      <w:bodyDiv w:val="1"/>
      <w:marLeft w:val="0"/>
      <w:marRight w:val="0"/>
      <w:marTop w:val="0"/>
      <w:marBottom w:val="0"/>
      <w:divBdr>
        <w:top w:val="none" w:sz="0" w:space="0" w:color="auto"/>
        <w:left w:val="none" w:sz="0" w:space="0" w:color="auto"/>
        <w:bottom w:val="none" w:sz="0" w:space="0" w:color="auto"/>
        <w:right w:val="none" w:sz="0" w:space="0" w:color="auto"/>
      </w:divBdr>
    </w:div>
    <w:div w:id="1522086154">
      <w:bodyDiv w:val="1"/>
      <w:marLeft w:val="0"/>
      <w:marRight w:val="0"/>
      <w:marTop w:val="0"/>
      <w:marBottom w:val="0"/>
      <w:divBdr>
        <w:top w:val="none" w:sz="0" w:space="0" w:color="auto"/>
        <w:left w:val="none" w:sz="0" w:space="0" w:color="auto"/>
        <w:bottom w:val="none" w:sz="0" w:space="0" w:color="auto"/>
        <w:right w:val="none" w:sz="0" w:space="0" w:color="auto"/>
      </w:divBdr>
    </w:div>
    <w:div w:id="1534732813">
      <w:bodyDiv w:val="1"/>
      <w:marLeft w:val="0"/>
      <w:marRight w:val="0"/>
      <w:marTop w:val="0"/>
      <w:marBottom w:val="0"/>
      <w:divBdr>
        <w:top w:val="none" w:sz="0" w:space="0" w:color="auto"/>
        <w:left w:val="none" w:sz="0" w:space="0" w:color="auto"/>
        <w:bottom w:val="none" w:sz="0" w:space="0" w:color="auto"/>
        <w:right w:val="none" w:sz="0" w:space="0" w:color="auto"/>
      </w:divBdr>
    </w:div>
    <w:div w:id="1569225774">
      <w:bodyDiv w:val="1"/>
      <w:marLeft w:val="0"/>
      <w:marRight w:val="0"/>
      <w:marTop w:val="0"/>
      <w:marBottom w:val="0"/>
      <w:divBdr>
        <w:top w:val="none" w:sz="0" w:space="0" w:color="auto"/>
        <w:left w:val="none" w:sz="0" w:space="0" w:color="auto"/>
        <w:bottom w:val="none" w:sz="0" w:space="0" w:color="auto"/>
        <w:right w:val="none" w:sz="0" w:space="0" w:color="auto"/>
      </w:divBdr>
    </w:div>
    <w:div w:id="1624651825">
      <w:bodyDiv w:val="1"/>
      <w:marLeft w:val="0"/>
      <w:marRight w:val="0"/>
      <w:marTop w:val="0"/>
      <w:marBottom w:val="0"/>
      <w:divBdr>
        <w:top w:val="none" w:sz="0" w:space="0" w:color="auto"/>
        <w:left w:val="none" w:sz="0" w:space="0" w:color="auto"/>
        <w:bottom w:val="none" w:sz="0" w:space="0" w:color="auto"/>
        <w:right w:val="none" w:sz="0" w:space="0" w:color="auto"/>
      </w:divBdr>
    </w:div>
    <w:div w:id="1655527495">
      <w:bodyDiv w:val="1"/>
      <w:marLeft w:val="0"/>
      <w:marRight w:val="0"/>
      <w:marTop w:val="0"/>
      <w:marBottom w:val="0"/>
      <w:divBdr>
        <w:top w:val="none" w:sz="0" w:space="0" w:color="auto"/>
        <w:left w:val="none" w:sz="0" w:space="0" w:color="auto"/>
        <w:bottom w:val="none" w:sz="0" w:space="0" w:color="auto"/>
        <w:right w:val="none" w:sz="0" w:space="0" w:color="auto"/>
      </w:divBdr>
    </w:div>
    <w:div w:id="1735157654">
      <w:bodyDiv w:val="1"/>
      <w:marLeft w:val="0"/>
      <w:marRight w:val="0"/>
      <w:marTop w:val="0"/>
      <w:marBottom w:val="0"/>
      <w:divBdr>
        <w:top w:val="none" w:sz="0" w:space="0" w:color="auto"/>
        <w:left w:val="none" w:sz="0" w:space="0" w:color="auto"/>
        <w:bottom w:val="none" w:sz="0" w:space="0" w:color="auto"/>
        <w:right w:val="none" w:sz="0" w:space="0" w:color="auto"/>
      </w:divBdr>
    </w:div>
    <w:div w:id="1793938876">
      <w:bodyDiv w:val="1"/>
      <w:marLeft w:val="0"/>
      <w:marRight w:val="0"/>
      <w:marTop w:val="0"/>
      <w:marBottom w:val="0"/>
      <w:divBdr>
        <w:top w:val="none" w:sz="0" w:space="0" w:color="auto"/>
        <w:left w:val="none" w:sz="0" w:space="0" w:color="auto"/>
        <w:bottom w:val="none" w:sz="0" w:space="0" w:color="auto"/>
        <w:right w:val="none" w:sz="0" w:space="0" w:color="auto"/>
      </w:divBdr>
    </w:div>
    <w:div w:id="1882858319">
      <w:bodyDiv w:val="1"/>
      <w:marLeft w:val="0"/>
      <w:marRight w:val="0"/>
      <w:marTop w:val="0"/>
      <w:marBottom w:val="0"/>
      <w:divBdr>
        <w:top w:val="none" w:sz="0" w:space="0" w:color="auto"/>
        <w:left w:val="none" w:sz="0" w:space="0" w:color="auto"/>
        <w:bottom w:val="none" w:sz="0" w:space="0" w:color="auto"/>
        <w:right w:val="none" w:sz="0" w:space="0" w:color="auto"/>
      </w:divBdr>
    </w:div>
    <w:div w:id="1926962913">
      <w:bodyDiv w:val="1"/>
      <w:marLeft w:val="0"/>
      <w:marRight w:val="0"/>
      <w:marTop w:val="0"/>
      <w:marBottom w:val="0"/>
      <w:divBdr>
        <w:top w:val="none" w:sz="0" w:space="0" w:color="auto"/>
        <w:left w:val="none" w:sz="0" w:space="0" w:color="auto"/>
        <w:bottom w:val="none" w:sz="0" w:space="0" w:color="auto"/>
        <w:right w:val="none" w:sz="0" w:space="0" w:color="auto"/>
      </w:divBdr>
    </w:div>
    <w:div w:id="1928733470">
      <w:bodyDiv w:val="1"/>
      <w:marLeft w:val="0"/>
      <w:marRight w:val="0"/>
      <w:marTop w:val="0"/>
      <w:marBottom w:val="0"/>
      <w:divBdr>
        <w:top w:val="none" w:sz="0" w:space="0" w:color="auto"/>
        <w:left w:val="none" w:sz="0" w:space="0" w:color="auto"/>
        <w:bottom w:val="none" w:sz="0" w:space="0" w:color="auto"/>
        <w:right w:val="none" w:sz="0" w:space="0" w:color="auto"/>
      </w:divBdr>
    </w:div>
    <w:div w:id="1930502455">
      <w:bodyDiv w:val="1"/>
      <w:marLeft w:val="0"/>
      <w:marRight w:val="0"/>
      <w:marTop w:val="0"/>
      <w:marBottom w:val="0"/>
      <w:divBdr>
        <w:top w:val="none" w:sz="0" w:space="0" w:color="auto"/>
        <w:left w:val="none" w:sz="0" w:space="0" w:color="auto"/>
        <w:bottom w:val="none" w:sz="0" w:space="0" w:color="auto"/>
        <w:right w:val="none" w:sz="0" w:space="0" w:color="auto"/>
      </w:divBdr>
    </w:div>
    <w:div w:id="2005163047">
      <w:bodyDiv w:val="1"/>
      <w:marLeft w:val="0"/>
      <w:marRight w:val="0"/>
      <w:marTop w:val="0"/>
      <w:marBottom w:val="0"/>
      <w:divBdr>
        <w:top w:val="none" w:sz="0" w:space="0" w:color="auto"/>
        <w:left w:val="none" w:sz="0" w:space="0" w:color="auto"/>
        <w:bottom w:val="none" w:sz="0" w:space="0" w:color="auto"/>
        <w:right w:val="none" w:sz="0" w:space="0" w:color="auto"/>
      </w:divBdr>
    </w:div>
    <w:div w:id="2024739900">
      <w:bodyDiv w:val="1"/>
      <w:marLeft w:val="0"/>
      <w:marRight w:val="0"/>
      <w:marTop w:val="0"/>
      <w:marBottom w:val="0"/>
      <w:divBdr>
        <w:top w:val="none" w:sz="0" w:space="0" w:color="auto"/>
        <w:left w:val="none" w:sz="0" w:space="0" w:color="auto"/>
        <w:bottom w:val="none" w:sz="0" w:space="0" w:color="auto"/>
        <w:right w:val="none" w:sz="0" w:space="0" w:color="auto"/>
      </w:divBdr>
      <w:divsChild>
        <w:div w:id="362176445">
          <w:marLeft w:val="0"/>
          <w:marRight w:val="0"/>
          <w:marTop w:val="0"/>
          <w:marBottom w:val="0"/>
          <w:divBdr>
            <w:top w:val="none" w:sz="0" w:space="0" w:color="auto"/>
            <w:left w:val="none" w:sz="0" w:space="0" w:color="auto"/>
            <w:bottom w:val="none" w:sz="0" w:space="0" w:color="auto"/>
            <w:right w:val="none" w:sz="0" w:space="0" w:color="auto"/>
          </w:divBdr>
          <w:divsChild>
            <w:div w:id="932398853">
              <w:marLeft w:val="0"/>
              <w:marRight w:val="0"/>
              <w:marTop w:val="0"/>
              <w:marBottom w:val="0"/>
              <w:divBdr>
                <w:top w:val="none" w:sz="0" w:space="0" w:color="auto"/>
                <w:left w:val="none" w:sz="0" w:space="0" w:color="auto"/>
                <w:bottom w:val="none" w:sz="0" w:space="0" w:color="auto"/>
                <w:right w:val="none" w:sz="0" w:space="0" w:color="auto"/>
              </w:divBdr>
              <w:divsChild>
                <w:div w:id="1692336273">
                  <w:marLeft w:val="0"/>
                  <w:marRight w:val="0"/>
                  <w:marTop w:val="0"/>
                  <w:marBottom w:val="0"/>
                  <w:divBdr>
                    <w:top w:val="none" w:sz="0" w:space="0" w:color="auto"/>
                    <w:left w:val="none" w:sz="0" w:space="0" w:color="auto"/>
                    <w:bottom w:val="none" w:sz="0" w:space="0" w:color="auto"/>
                    <w:right w:val="none" w:sz="0" w:space="0" w:color="auto"/>
                  </w:divBdr>
                  <w:divsChild>
                    <w:div w:id="419377535">
                      <w:marLeft w:val="0"/>
                      <w:marRight w:val="0"/>
                      <w:marTop w:val="0"/>
                      <w:marBottom w:val="0"/>
                      <w:divBdr>
                        <w:top w:val="none" w:sz="0" w:space="0" w:color="auto"/>
                        <w:left w:val="none" w:sz="0" w:space="0" w:color="auto"/>
                        <w:bottom w:val="none" w:sz="0" w:space="0" w:color="auto"/>
                        <w:right w:val="none" w:sz="0" w:space="0" w:color="auto"/>
                      </w:divBdr>
                      <w:divsChild>
                        <w:div w:id="1302611360">
                          <w:marLeft w:val="0"/>
                          <w:marRight w:val="0"/>
                          <w:marTop w:val="0"/>
                          <w:marBottom w:val="0"/>
                          <w:divBdr>
                            <w:top w:val="none" w:sz="0" w:space="0" w:color="auto"/>
                            <w:left w:val="none" w:sz="0" w:space="0" w:color="auto"/>
                            <w:bottom w:val="none" w:sz="0" w:space="0" w:color="auto"/>
                            <w:right w:val="none" w:sz="0" w:space="0" w:color="auto"/>
                          </w:divBdr>
                          <w:divsChild>
                            <w:div w:id="1472401925">
                              <w:marLeft w:val="0"/>
                              <w:marRight w:val="0"/>
                              <w:marTop w:val="0"/>
                              <w:marBottom w:val="0"/>
                              <w:divBdr>
                                <w:top w:val="none" w:sz="0" w:space="0" w:color="auto"/>
                                <w:left w:val="none" w:sz="0" w:space="0" w:color="auto"/>
                                <w:bottom w:val="none" w:sz="0" w:space="0" w:color="auto"/>
                                <w:right w:val="none" w:sz="0" w:space="0" w:color="auto"/>
                              </w:divBdr>
                              <w:divsChild>
                                <w:div w:id="25363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3115223">
      <w:bodyDiv w:val="1"/>
      <w:marLeft w:val="0"/>
      <w:marRight w:val="0"/>
      <w:marTop w:val="0"/>
      <w:marBottom w:val="0"/>
      <w:divBdr>
        <w:top w:val="none" w:sz="0" w:space="0" w:color="auto"/>
        <w:left w:val="none" w:sz="0" w:space="0" w:color="auto"/>
        <w:bottom w:val="none" w:sz="0" w:space="0" w:color="auto"/>
        <w:right w:val="none" w:sz="0" w:space="0" w:color="auto"/>
      </w:divBdr>
    </w:div>
    <w:div w:id="2053535483">
      <w:bodyDiv w:val="1"/>
      <w:marLeft w:val="0"/>
      <w:marRight w:val="0"/>
      <w:marTop w:val="0"/>
      <w:marBottom w:val="0"/>
      <w:divBdr>
        <w:top w:val="none" w:sz="0" w:space="0" w:color="auto"/>
        <w:left w:val="none" w:sz="0" w:space="0" w:color="auto"/>
        <w:bottom w:val="none" w:sz="0" w:space="0" w:color="auto"/>
        <w:right w:val="none" w:sz="0" w:space="0" w:color="auto"/>
      </w:divBdr>
    </w:div>
    <w:div w:id="2083872815">
      <w:bodyDiv w:val="1"/>
      <w:marLeft w:val="0"/>
      <w:marRight w:val="0"/>
      <w:marTop w:val="0"/>
      <w:marBottom w:val="0"/>
      <w:divBdr>
        <w:top w:val="none" w:sz="0" w:space="0" w:color="auto"/>
        <w:left w:val="none" w:sz="0" w:space="0" w:color="auto"/>
        <w:bottom w:val="none" w:sz="0" w:space="0" w:color="auto"/>
        <w:right w:val="none" w:sz="0" w:space="0" w:color="auto"/>
      </w:divBdr>
    </w:div>
    <w:div w:id="2116053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4419/rnqsta59" TargetMode="External"/><Relationship Id="rId18" Type="http://schemas.openxmlformats.org/officeDocument/2006/relationships/hyperlink" Target="https://doi.org/10.60079/aaar.v2i2.262" TargetMode="External"/><Relationship Id="rId26" Type="http://schemas.openxmlformats.org/officeDocument/2006/relationships/hyperlink" Target="https://doi.org/10.55817/ynph2883" TargetMode="External"/><Relationship Id="rId3" Type="http://schemas.openxmlformats.org/officeDocument/2006/relationships/styles" Target="styles.xml"/><Relationship Id="rId21" Type="http://schemas.openxmlformats.org/officeDocument/2006/relationships/hyperlink" Target="https://doi.org/10.55041/ijsrem35005"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21791/ijems.2024.004" TargetMode="External"/><Relationship Id="rId17" Type="http://schemas.openxmlformats.org/officeDocument/2006/relationships/hyperlink" Target="https://doi.org/10.33619/2414-2948/115/57" TargetMode="External"/><Relationship Id="rId25" Type="http://schemas.openxmlformats.org/officeDocument/2006/relationships/hyperlink" Target="https://doi.org/10.37012/ileka.v6i2.3042"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9790/5933-1505035968" TargetMode="External"/><Relationship Id="rId20" Type="http://schemas.openxmlformats.org/officeDocument/2006/relationships/hyperlink" Target="https://doi.org/10.1080/23311975.2024.241144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4818/imc/2024/03.02" TargetMode="External"/><Relationship Id="rId24" Type="http://schemas.openxmlformats.org/officeDocument/2006/relationships/hyperlink" Target="https://doi.org/10.3390/su152015121"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26565/2524-2547-2022-63-08" TargetMode="External"/><Relationship Id="rId23" Type="http://schemas.openxmlformats.org/officeDocument/2006/relationships/hyperlink" Target="https://doi.org/10.63618/omd/isj/v1/n3/18" TargetMode="External"/><Relationship Id="rId28" Type="http://schemas.openxmlformats.org/officeDocument/2006/relationships/hyperlink" Target="https://doi.org/10.55927/metropolis.v1i4.307" TargetMode="External"/><Relationship Id="rId36" Type="http://schemas.openxmlformats.org/officeDocument/2006/relationships/theme" Target="theme/theme1.xml"/><Relationship Id="rId10" Type="http://schemas.openxmlformats.org/officeDocument/2006/relationships/hyperlink" Target="https://doi.org/10.1016/j.heliyon.2023.e23912" TargetMode="External"/><Relationship Id="rId19" Type="http://schemas.openxmlformats.org/officeDocument/2006/relationships/hyperlink" Target="https://doi.org/10.38193/ijrcms.2025.7226"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016/j.intaccaudtax.2021.100430" TargetMode="External"/><Relationship Id="rId14" Type="http://schemas.openxmlformats.org/officeDocument/2006/relationships/hyperlink" Target="https://doi.org/10.1108/jaee-07-2024-0298" TargetMode="External"/><Relationship Id="rId22" Type="http://schemas.openxmlformats.org/officeDocument/2006/relationships/hyperlink" Target="https://doi.org/10.4236/ojacct.2022.104014" TargetMode="External"/><Relationship Id="rId27" Type="http://schemas.openxmlformats.org/officeDocument/2006/relationships/hyperlink" Target="https://doi.org/10.22373/share.v14i1.28769"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s://doi.org/10.62872/ewjrgt95" TargetMode="External"/><Relationship Id="rId2" Type="http://schemas.openxmlformats.org/officeDocument/2006/relationships/hyperlink" Target="https://nawalaeducation.com/index.php/NJ/index"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2dgybNlwlTtX47PrjEPyrXbaDQ==">CgMxLjAyCGguZ2pkZ3hzOAByITF6b1FucnI3ZzgzUTE4OEU2VEtuLUlSOTZhaXNiRDhvaw==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6544</Words>
  <Characters>37305</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Dwi</dc:creator>
  <cp:lastModifiedBy>reviewer nawala</cp:lastModifiedBy>
  <cp:revision>2</cp:revision>
  <dcterms:created xsi:type="dcterms:W3CDTF">2026-03-11T08:16:00Z</dcterms:created>
  <dcterms:modified xsi:type="dcterms:W3CDTF">2026-03-11T08:16:00Z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2f64c8ae-adc0-30dd-a03e-007909e803c9</vt:lpwstr>
  </property>
</Properties>
</file>