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E7EA6" w14:textId="797F1A40" w:rsidR="001901FE" w:rsidRDefault="00AE693C">
      <w:pPr>
        <w:pBdr>
          <w:top w:val="nil"/>
          <w:left w:val="nil"/>
          <w:bottom w:val="nil"/>
          <w:right w:val="nil"/>
          <w:between w:val="nil"/>
        </w:pBdr>
        <w:jc w:val="both"/>
        <w:rPr>
          <w:rFonts w:ascii="Cambria" w:eastAsia="Cambria" w:hAnsi="Cambria" w:cs="Cambria"/>
          <w:b/>
          <w:bCs/>
          <w:i/>
          <w:iCs/>
          <w:color w:val="FF0000"/>
          <w:sz w:val="28"/>
          <w:szCs w:val="28"/>
        </w:rPr>
      </w:pPr>
      <w:r w:rsidRPr="00C72DDA">
        <w:rPr>
          <w:rFonts w:ascii="Helvetica Neue" w:eastAsia="Helvetica Neue" w:hAnsi="Helvetica Neue" w:cs="Helvetica Neue"/>
          <w:b/>
          <w:bCs/>
          <w:color w:val="0070C0"/>
          <w:sz w:val="40"/>
          <w:szCs w:val="40"/>
        </w:rPr>
        <w:t>Artificial Intelligence Optimization in Renewable Energy Systems</w:t>
      </w:r>
    </w:p>
    <w:p w14:paraId="282D6ED6" w14:textId="77777777" w:rsidR="001901FE" w:rsidRDefault="001901FE">
      <w:pPr>
        <w:pBdr>
          <w:top w:val="nil"/>
          <w:left w:val="nil"/>
          <w:bottom w:val="nil"/>
          <w:right w:val="nil"/>
          <w:between w:val="nil"/>
        </w:pBdr>
        <w:jc w:val="both"/>
        <w:rPr>
          <w:rFonts w:ascii="Cambria" w:eastAsia="Cambria" w:hAnsi="Cambria" w:cs="Cambria"/>
          <w:b/>
          <w:bCs/>
          <w:sz w:val="28"/>
          <w:szCs w:val="28"/>
        </w:rPr>
      </w:pPr>
    </w:p>
    <w:p w14:paraId="7201DAFC" w14:textId="6888371B" w:rsidR="001901FE" w:rsidRPr="00742ECC" w:rsidRDefault="00742ECC">
      <w:pPr>
        <w:rPr>
          <w:rFonts w:ascii="Cambria" w:eastAsia="Cambria" w:hAnsi="Cambria" w:cs="Cambria"/>
          <w:b/>
          <w:bCs/>
          <w:color w:val="FF0000"/>
          <w:vertAlign w:val="superscript"/>
        </w:rPr>
      </w:pPr>
      <w:r>
        <w:rPr>
          <w:rFonts w:ascii="Helvetica Neue" w:eastAsia="Helvetica Neue" w:hAnsi="Helvetica Neue" w:cs="Helvetica Neue"/>
          <w:b/>
          <w:bCs/>
        </w:rPr>
        <w:t>Rahmad Surya Hadi Saputra</w:t>
      </w:r>
      <w:r>
        <w:rPr>
          <w:rFonts w:ascii="Helvetica Neue" w:eastAsia="Helvetica Neue" w:hAnsi="Helvetica Neue" w:cs="Helvetica Neue"/>
          <w:b/>
          <w:bCs/>
          <w:vertAlign w:val="superscript"/>
        </w:rPr>
        <w:t>1</w:t>
      </w:r>
    </w:p>
    <w:p w14:paraId="000337A8" w14:textId="397BA5B1" w:rsidR="001901FE" w:rsidRDefault="00000000" w:rsidP="00742ECC">
      <w:pPr>
        <w:ind w:left="142" w:hanging="142"/>
        <w:jc w:val="both"/>
        <w:rPr>
          <w:rFonts w:ascii="Cambria" w:eastAsia="Cambria" w:hAnsi="Cambria" w:cs="Cambria"/>
          <w:b/>
          <w:bCs/>
          <w:i/>
          <w:iCs/>
          <w:color w:val="FF0000"/>
          <w:sz w:val="18"/>
          <w:szCs w:val="18"/>
        </w:rPr>
      </w:pPr>
      <w:bookmarkStart w:id="0" w:name="_heading=h.jridmv2r7fuu" w:colFirst="0" w:colLast="0"/>
      <w:bookmarkEnd w:id="0"/>
      <w:r>
        <w:rPr>
          <w:rFonts w:ascii="Cambria" w:eastAsia="Cambria" w:hAnsi="Cambria" w:cs="Cambria"/>
          <w:sz w:val="18"/>
          <w:szCs w:val="18"/>
          <w:vertAlign w:val="superscript"/>
        </w:rPr>
        <w:t>1</w:t>
      </w:r>
      <w:r>
        <w:rPr>
          <w:rFonts w:ascii="Cambria" w:eastAsia="Cambria" w:hAnsi="Cambria" w:cs="Cambria"/>
          <w:sz w:val="18"/>
          <w:szCs w:val="18"/>
        </w:rPr>
        <w:t>Politeknik Kelautan dan Perikanan Karawang, Indonesia</w:t>
      </w:r>
    </w:p>
    <w:p w14:paraId="167AD896" w14:textId="77777777" w:rsidR="001901FE" w:rsidRDefault="001901FE">
      <w:pPr>
        <w:ind w:left="142" w:hanging="142"/>
        <w:jc w:val="both"/>
        <w:rPr>
          <w:rFonts w:ascii="Cambria" w:eastAsia="Cambria" w:hAnsi="Cambria" w:cs="Cambria"/>
          <w:b/>
          <w:bCs/>
          <w:i/>
          <w:iCs/>
          <w:color w:val="FF0000"/>
          <w:sz w:val="18"/>
          <w:szCs w:val="18"/>
        </w:rPr>
      </w:pPr>
    </w:p>
    <w:p w14:paraId="01D3C0F3" w14:textId="1DD5C729" w:rsidR="001901FE" w:rsidRDefault="00000000">
      <w:pPr>
        <w:rPr>
          <w:rFonts w:ascii="Cambria" w:eastAsia="Cambria" w:hAnsi="Cambria" w:cs="Cambria"/>
          <w:sz w:val="18"/>
          <w:szCs w:val="18"/>
        </w:rPr>
      </w:pPr>
      <w:r>
        <w:rPr>
          <w:rFonts w:ascii="Cambria" w:eastAsia="Cambria" w:hAnsi="Cambria" w:cs="Cambria"/>
          <w:sz w:val="18"/>
          <w:szCs w:val="18"/>
        </w:rPr>
        <w:t xml:space="preserve">E-mail: </w:t>
      </w:r>
      <w:r w:rsidR="008E479D">
        <w:rPr>
          <w:rFonts w:ascii="Cambria" w:eastAsia="Cambria" w:hAnsi="Cambria" w:cs="Cambria"/>
          <w:sz w:val="18"/>
          <w:szCs w:val="18"/>
        </w:rPr>
        <w:t xml:space="preserve"> </w:t>
      </w:r>
      <w:hyperlink r:id="rId9" w:history="1">
        <w:r w:rsidR="00032933" w:rsidRPr="00752C5D">
          <w:rPr>
            <w:rStyle w:val="Hyperlink"/>
            <w:rFonts w:ascii="Cambria" w:eastAsia="Cambria" w:hAnsi="Cambria" w:cs="Cambria"/>
            <w:sz w:val="18"/>
            <w:szCs w:val="18"/>
          </w:rPr>
          <w:t>rahmad2002@gmail.com</w:t>
        </w:r>
      </w:hyperlink>
    </w:p>
    <w:p w14:paraId="339DCC09" w14:textId="77777777" w:rsidR="001901FE" w:rsidRDefault="001901FE">
      <w:pPr>
        <w:tabs>
          <w:tab w:val="left" w:pos="0"/>
        </w:tabs>
        <w:rPr>
          <w:rFonts w:ascii="Cambria" w:eastAsia="Cambria" w:hAnsi="Cambria" w:cs="Cambria"/>
        </w:rPr>
      </w:pPr>
    </w:p>
    <w:p w14:paraId="47A9355F" w14:textId="7CCEE9F0" w:rsidR="001901FE" w:rsidRDefault="00000000">
      <w:pPr>
        <w:tabs>
          <w:tab w:val="left" w:pos="5103"/>
          <w:tab w:val="left" w:pos="6096"/>
          <w:tab w:val="left" w:pos="6379"/>
          <w:tab w:val="left" w:pos="6804"/>
        </w:tabs>
        <w:ind w:left="1560" w:hanging="709"/>
        <w:rPr>
          <w:rFonts w:ascii="Cambria" w:eastAsia="Cambria" w:hAnsi="Cambria" w:cs="Cambria"/>
          <w:sz w:val="18"/>
          <w:szCs w:val="18"/>
        </w:rPr>
      </w:pPr>
      <w:r>
        <w:rPr>
          <w:rFonts w:ascii="Cambria" w:eastAsia="Cambria" w:hAnsi="Cambria" w:cs="Cambria"/>
          <w:sz w:val="18"/>
          <w:szCs w:val="18"/>
        </w:rPr>
        <w:t>Input: August 18, 2026</w:t>
      </w:r>
      <w:r>
        <w:rPr>
          <w:rFonts w:ascii="Cambria" w:eastAsia="Cambria" w:hAnsi="Cambria" w:cs="Cambria"/>
          <w:sz w:val="18"/>
          <w:szCs w:val="18"/>
        </w:rPr>
        <w:tab/>
      </w:r>
      <w:r>
        <w:rPr>
          <w:rFonts w:ascii="Cambria" w:eastAsia="Cambria" w:hAnsi="Cambria" w:cs="Cambria"/>
          <w:sz w:val="18"/>
          <w:szCs w:val="18"/>
        </w:rPr>
        <w:tab/>
        <w:t>Revised</w:t>
      </w:r>
      <w:r>
        <w:rPr>
          <w:rFonts w:ascii="Cambria" w:eastAsia="Cambria" w:hAnsi="Cambria" w:cs="Cambria"/>
          <w:sz w:val="18"/>
          <w:szCs w:val="18"/>
        </w:rPr>
        <w:tab/>
        <w:t>:</w:t>
      </w:r>
      <w:r w:rsidR="00646DD4">
        <w:rPr>
          <w:rFonts w:ascii="Cambria" w:eastAsia="Cambria" w:hAnsi="Cambria" w:cs="Cambria"/>
          <w:sz w:val="18"/>
          <w:szCs w:val="18"/>
        </w:rPr>
        <w:t xml:space="preserve"> August 20, 2026</w:t>
      </w:r>
    </w:p>
    <w:p w14:paraId="41716A45" w14:textId="00DFA369" w:rsidR="001901FE" w:rsidRDefault="00000000">
      <w:pPr>
        <w:tabs>
          <w:tab w:val="left" w:pos="5103"/>
          <w:tab w:val="left" w:pos="6096"/>
          <w:tab w:val="left" w:pos="6804"/>
        </w:tabs>
        <w:ind w:left="1560" w:hanging="709"/>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w:t>
      </w:r>
      <w:r w:rsidR="00646DD4">
        <w:rPr>
          <w:rFonts w:ascii="Cambria" w:eastAsia="Cambria" w:hAnsi="Cambria" w:cs="Cambria"/>
          <w:sz w:val="18"/>
          <w:szCs w:val="18"/>
        </w:rPr>
        <w:t xml:space="preserve"> August 22, 2026</w:t>
      </w:r>
      <w:r>
        <w:rPr>
          <w:rFonts w:ascii="Cambria" w:eastAsia="Cambria" w:hAnsi="Cambria" w:cs="Cambria"/>
          <w:sz w:val="18"/>
          <w:szCs w:val="18"/>
        </w:rPr>
        <w:tab/>
      </w:r>
      <w:r>
        <w:rPr>
          <w:rFonts w:ascii="Cambria" w:eastAsia="Cambria" w:hAnsi="Cambria" w:cs="Cambria"/>
          <w:sz w:val="18"/>
          <w:szCs w:val="18"/>
        </w:rPr>
        <w:tab/>
        <w:t>Published :</w:t>
      </w:r>
      <w:r w:rsidR="00646DD4">
        <w:rPr>
          <w:rFonts w:ascii="Cambria" w:eastAsia="Cambria" w:hAnsi="Cambria" w:cs="Cambria"/>
          <w:sz w:val="18"/>
          <w:szCs w:val="18"/>
        </w:rPr>
        <w:t xml:space="preserve"> August 25, 2026</w:t>
      </w:r>
    </w:p>
    <w:p w14:paraId="3706B8AD" w14:textId="77777777" w:rsidR="001901FE" w:rsidRDefault="001901FE">
      <w:pPr>
        <w:rPr>
          <w:rFonts w:ascii="Cambria" w:eastAsia="Cambria" w:hAnsi="Cambria" w:cs="Cambria"/>
          <w:sz w:val="20"/>
          <w:szCs w:val="20"/>
        </w:rPr>
      </w:pPr>
    </w:p>
    <w:p w14:paraId="17E795FF" w14:textId="1C43779A" w:rsidR="001901FE" w:rsidRDefault="00000000">
      <w:pPr>
        <w:jc w:val="both"/>
        <w:rPr>
          <w:rFonts w:ascii="Cambria" w:eastAsia="Cambria" w:hAnsi="Cambria" w:cs="Cambria"/>
          <w:i/>
          <w:iCs/>
          <w:sz w:val="20"/>
          <w:szCs w:val="20"/>
        </w:rPr>
      </w:pPr>
      <w:r>
        <w:rPr>
          <w:rFonts w:ascii="Cambria" w:eastAsia="Cambria" w:hAnsi="Cambria" w:cs="Cambria"/>
          <w:b/>
          <w:bCs/>
          <w:color w:val="0070C0"/>
          <w:sz w:val="20"/>
          <w:szCs w:val="20"/>
        </w:rPr>
        <w:t xml:space="preserve">ABSTRACT  </w:t>
      </w:r>
      <w:r>
        <w:rPr>
          <w:color w:val="000000"/>
          <w:sz w:val="18"/>
          <w:szCs w:val="18"/>
        </w:rPr>
        <w:t xml:space="preserve">—  </w:t>
      </w:r>
      <w:r w:rsidR="00BA3E70" w:rsidRPr="00BA3E70">
        <w:rPr>
          <w:color w:val="000000"/>
          <w:sz w:val="18"/>
          <w:szCs w:val="18"/>
        </w:rPr>
        <w:t>The accelerating global transition toward decarbonized power systems has positioned renewable energy</w:t>
      </w:r>
      <w:r w:rsidR="00BA3E70">
        <w:rPr>
          <w:color w:val="000000"/>
          <w:sz w:val="18"/>
          <w:szCs w:val="18"/>
        </w:rPr>
        <w:t xml:space="preserve"> </w:t>
      </w:r>
      <w:r w:rsidR="00BA3E70" w:rsidRPr="00BA3E70">
        <w:rPr>
          <w:color w:val="000000"/>
          <w:sz w:val="18"/>
          <w:szCs w:val="18"/>
        </w:rPr>
        <w:t>particularly solar and windas the backbone of future electricity supply, yet the inherent variability of these resources continues to challenge grid reliability and economic viability. This article presents a systematic literature review examining how artificial intelligence (AI), encompassing machine learning, deep learning, reinforcement learning, and metaheuristic algorithms, is optimizing renewable energy systems by improving forecasting precision, enabling adaptive control, and supporting predictive maintenance. The review synthesizes findings from twenty-five peer-reviewed studies published between 2021 and 2026, following a structured methodology covering identification, screening, eligibility, and thematic synthesis stages. The findings indicate that deep learning architectures such as long short-term memory networks and convolutional neural networks substantially reduce forecasting error, while reinforcement learning and IoT-integrated frameworks improve real-time dispatch and resource allocation. Predictive maintenance applications report downtime reductions of up to twenty-five percent and inspection-time savings approaching ninety percent. The review identifies an important research gap: existing studies remain fragmented across isolated technical domains, whereas an integrated, system-level framework linking forecasting, control, and maintenance intelligence is still underdeveloped. The article concludes by outlining research directions toward standardized datasets, explainable models, and federated architectures for scalable AI-enabled renewable energy optimization.</w:t>
      </w:r>
    </w:p>
    <w:p w14:paraId="2A72269D" w14:textId="77777777" w:rsidR="001901FE" w:rsidRDefault="001901FE">
      <w:pPr>
        <w:rPr>
          <w:rFonts w:ascii="Cambria" w:eastAsia="Cambria" w:hAnsi="Cambria" w:cs="Cambria"/>
          <w:b/>
          <w:bCs/>
        </w:rPr>
      </w:pPr>
    </w:p>
    <w:p w14:paraId="784019BE" w14:textId="3F55F49C" w:rsidR="001901FE" w:rsidRDefault="00000000">
      <w:pPr>
        <w:rPr>
          <w:rFonts w:ascii="Cambria" w:eastAsia="Cambria" w:hAnsi="Cambria" w:cs="Cambria"/>
          <w:b/>
          <w:bCs/>
          <w:i/>
          <w:iCs/>
          <w:sz w:val="20"/>
          <w:szCs w:val="20"/>
        </w:rPr>
      </w:pPr>
      <w:r>
        <w:rPr>
          <w:rFonts w:ascii="Cambria" w:eastAsia="Cambria" w:hAnsi="Cambria" w:cs="Cambria"/>
          <w:b/>
          <w:bCs/>
          <w:i/>
          <w:iCs/>
          <w:sz w:val="20"/>
          <w:szCs w:val="20"/>
        </w:rPr>
        <w:t xml:space="preserve">Keywords : </w:t>
      </w:r>
      <w:r>
        <w:rPr>
          <w:rFonts w:ascii="Cambria" w:eastAsia="Cambria" w:hAnsi="Cambria" w:cs="Cambria"/>
          <w:i/>
          <w:iCs/>
          <w:sz w:val="20"/>
          <w:szCs w:val="20"/>
        </w:rPr>
        <w:t>artificial intelligence; machine learning; renewable energy; optimization; predictive maintenance; forecasting</w:t>
      </w:r>
      <w:r>
        <w:rPr>
          <w:rFonts w:ascii="Cambria" w:eastAsia="Cambria" w:hAnsi="Cambria" w:cs="Cambria"/>
          <w:i/>
          <w:iCs/>
          <w:sz w:val="20"/>
          <w:szCs w:val="20"/>
        </w:rPr>
        <w:tab/>
      </w:r>
      <w:r>
        <w:rPr>
          <w:rFonts w:ascii="Cambria" w:eastAsia="Cambria" w:hAnsi="Cambria" w:cs="Cambria"/>
          <w:b/>
          <w:bCs/>
          <w:i/>
          <w:iCs/>
          <w:sz w:val="20"/>
          <w:szCs w:val="20"/>
        </w:rPr>
        <w:tab/>
      </w:r>
      <w:r>
        <w:rPr>
          <w:rFonts w:ascii="Cambria" w:eastAsia="Cambria" w:hAnsi="Cambria" w:cs="Cambria"/>
          <w:b/>
          <w:bCs/>
          <w:i/>
          <w:iCs/>
          <w:sz w:val="20"/>
          <w:szCs w:val="20"/>
        </w:rPr>
        <w:tab/>
      </w:r>
      <w:r>
        <w:rPr>
          <w:rFonts w:ascii="Cambria" w:eastAsia="Cambria" w:hAnsi="Cambria" w:cs="Cambria"/>
          <w:b/>
          <w:bCs/>
          <w:i/>
          <w:iCs/>
          <w:sz w:val="20"/>
          <w:szCs w:val="20"/>
        </w:rPr>
        <w:tab/>
      </w:r>
    </w:p>
    <w:p w14:paraId="4E287D84" w14:textId="77777777" w:rsidR="001901FE" w:rsidRDefault="001901FE">
      <w:pPr>
        <w:rPr>
          <w:rFonts w:ascii="Cambria" w:eastAsia="Cambria" w:hAnsi="Cambria" w:cs="Cambria"/>
          <w:b/>
          <w:bCs/>
          <w:i/>
          <w:iCs/>
          <w:sz w:val="20"/>
          <w:szCs w:val="20"/>
        </w:rPr>
      </w:pPr>
    </w:p>
    <w:p w14:paraId="02641596" w14:textId="77777777" w:rsidR="001901FE" w:rsidRDefault="001901FE">
      <w:pPr>
        <w:pBdr>
          <w:top w:val="nil"/>
          <w:left w:val="nil"/>
          <w:bottom w:val="nil"/>
          <w:right w:val="nil"/>
          <w:between w:val="nil"/>
        </w:pBdr>
        <w:jc w:val="both"/>
        <w:rPr>
          <w:rFonts w:ascii="Cambria" w:eastAsia="Cambria" w:hAnsi="Cambria" w:cs="Cambria"/>
          <w:b/>
          <w:bCs/>
          <w:color w:val="ED7D31"/>
        </w:rPr>
      </w:pPr>
    </w:p>
    <w:p w14:paraId="549CCCCB" w14:textId="6E664B65" w:rsidR="001901FE" w:rsidRDefault="00000000">
      <w:pPr>
        <w:rPr>
          <w:rFonts w:ascii="Cambria" w:eastAsia="Cambria" w:hAnsi="Cambria" w:cs="Cambria"/>
          <w:b/>
          <w:bCs/>
        </w:rPr>
      </w:pPr>
      <w:r>
        <w:rPr>
          <w:rFonts w:ascii="Cambria" w:eastAsia="Cambria" w:hAnsi="Cambria" w:cs="Cambria"/>
          <w:b/>
          <w:bCs/>
        </w:rPr>
        <w:t>INTRODUCTION</w:t>
      </w:r>
      <w:r>
        <w:rPr>
          <w:rFonts w:ascii="Cambria" w:eastAsia="Cambria" w:hAnsi="Cambria" w:cs="Cambria"/>
          <w:b/>
          <w:bCs/>
        </w:rPr>
        <w:tab/>
      </w:r>
    </w:p>
    <w:p w14:paraId="11F9ABB6" w14:textId="77777777" w:rsidR="00C72DDA" w:rsidRPr="00C72DDA" w:rsidRDefault="00C72DDA" w:rsidP="00C72DDA">
      <w:pPr>
        <w:pBdr>
          <w:top w:val="nil"/>
          <w:left w:val="nil"/>
          <w:bottom w:val="nil"/>
          <w:right w:val="nil"/>
          <w:between w:val="nil"/>
        </w:pBdr>
        <w:ind w:firstLine="567"/>
        <w:jc w:val="both"/>
        <w:rPr>
          <w:rFonts w:ascii="Cambria" w:eastAsia="Cambria" w:hAnsi="Cambria" w:cs="Cambria"/>
        </w:rPr>
      </w:pPr>
      <w:r>
        <w:rPr>
          <w:rFonts w:ascii="Cambria" w:eastAsia="Cambria" w:hAnsi="Cambria" w:cs="Cambria"/>
        </w:rPr>
        <w:t>The transformation of the global energy sector toward low-carbon sources has accelerated markedly over the past decade, driven by international climate commitments, declining technology costs, and growing energy security concerns. Solar photovoltaic and wind power now represent the fastest-growing segments of new electricity generation capacity worldwide, with cumulative installed capacity expanding several-fold since 2015 (Ukoba et al., 2024). This expansion, however, has exposed a structural weakness inherent to renewable resources: their output is governed by weather patterns, solar irradiance, wind speed, and atmospheric conditions that are inherently stochastic and difficult to predict with classical deterministic models (Shoaei et al., 2024). Unlike conventional thermal generation, renewable sources cannot be dispatched on demand, which introduces volatility into grid operations, complicates reserve planning, and increases the technical burden placed on transmission system operators (Dawodu et al., 2024).</w:t>
      </w:r>
    </w:p>
    <w:p w14:paraId="323D1C1E" w14:textId="6945E62F" w:rsidR="00C72DDA" w:rsidRPr="00C72DDA" w:rsidRDefault="00C72DDA" w:rsidP="00C72DDA">
      <w:pPr>
        <w:pBdr>
          <w:top w:val="nil"/>
          <w:left w:val="nil"/>
          <w:bottom w:val="nil"/>
          <w:right w:val="nil"/>
          <w:between w:val="nil"/>
        </w:pBdr>
        <w:ind w:firstLine="567"/>
        <w:jc w:val="both"/>
        <w:rPr>
          <w:rFonts w:ascii="Cambria" w:eastAsia="Cambria" w:hAnsi="Cambria" w:cs="Cambria"/>
        </w:rPr>
      </w:pPr>
      <w:r>
        <w:rPr>
          <w:rFonts w:ascii="Cambria" w:eastAsia="Cambria" w:hAnsi="Cambria" w:cs="Cambria"/>
        </w:rPr>
        <w:t xml:space="preserve">At the same time, the physical assets that comprise renewable energy infrastructure wind turbines, photovoltaic arrays, inverters, and battery storage systems are subject to degradation, environmental stress, and component failure, all of which reduce energy yield and raise operating expenditure over the asset lifecycle (Wada et al., 2024). Traditional operations and maintenance practices, which rely on fixed inspection schedules or reactive repair after failure, are increasingly viewed as inadequate for large-scale renewable fleets distributed across remote or difficult-to-access terrain (Apata et al., 2026). These combined challenges generation variability and asset reliability have </w:t>
      </w:r>
      <w:r>
        <w:rPr>
          <w:rFonts w:ascii="Cambria" w:eastAsia="Cambria" w:hAnsi="Cambria" w:cs="Cambria"/>
        </w:rPr>
        <w:lastRenderedPageBreak/>
        <w:t>created strong demand for intelligent, data-driven solutions capable of anticipating both weather-driven fluctuations and equipment degradation before they translate into lost revenue or grid instability.</w:t>
      </w:r>
    </w:p>
    <w:p w14:paraId="6D6C6ACF" w14:textId="79B7CB09" w:rsidR="00C72DDA" w:rsidRPr="00C72DDA" w:rsidRDefault="00C72DDA" w:rsidP="00C72DDA">
      <w:pPr>
        <w:pBdr>
          <w:top w:val="nil"/>
          <w:left w:val="nil"/>
          <w:bottom w:val="nil"/>
          <w:right w:val="nil"/>
          <w:between w:val="nil"/>
        </w:pBdr>
        <w:ind w:firstLine="567"/>
        <w:jc w:val="both"/>
        <w:rPr>
          <w:rFonts w:ascii="Cambria" w:eastAsia="Cambria" w:hAnsi="Cambria" w:cs="Cambria"/>
        </w:rPr>
      </w:pPr>
      <w:r>
        <w:rPr>
          <w:rFonts w:ascii="Cambria" w:eastAsia="Cambria" w:hAnsi="Cambria" w:cs="Cambria"/>
        </w:rPr>
        <w:t>The economic stakes attached to this transition are considerable. Utilities and independent power producers increasingly rely on accurate short- and medium-term generation forecasts to participate in wholesale electricity markets, schedule reserve capacity, and avoid financial penalties associated with imbalance settlement (Ukoba et al., 2024). At the same time, the capital intensity of renewable energy projects means that even modest improvements in operational efficiency or maintenance cost translate into meaningful returns over a typical twenty- to twenty-five-year asset lifetime. Grid operators, meanwhile, must contend with rising shares of variable renewable generation without compromising frequency stability, voltage regulation, or overall system security, a challenge that becomes progressively more acute as fossil-fuel-based synchronous generation historically relied upon to provide inertia and balancing services is progressively retired (Fan et al., 2023). These converging technical and economic pressures have elevated the optimization of renewable energy systems from a narrow engineering concern to a strategic priority for energy policy and infrastructure investment worldwide.</w:t>
      </w:r>
    </w:p>
    <w:p w14:paraId="0CE0301A" w14:textId="77777777" w:rsidR="00C72DDA" w:rsidRPr="00C72DDA" w:rsidRDefault="00C72DDA" w:rsidP="00C72DDA">
      <w:pPr>
        <w:pBdr>
          <w:top w:val="nil"/>
          <w:left w:val="nil"/>
          <w:bottom w:val="nil"/>
          <w:right w:val="nil"/>
          <w:between w:val="nil"/>
        </w:pBdr>
        <w:ind w:firstLine="567"/>
        <w:jc w:val="both"/>
        <w:rPr>
          <w:rFonts w:ascii="Cambria" w:eastAsia="Cambria" w:hAnsi="Cambria" w:cs="Cambria"/>
        </w:rPr>
      </w:pPr>
      <w:r>
        <w:rPr>
          <w:rFonts w:ascii="Cambria" w:eastAsia="Cambria" w:hAnsi="Cambria" w:cs="Cambria"/>
        </w:rPr>
        <w:t>Artificial intelligence, encompassing machine learning, deep learning, and reinforcement learning, has progressively demonstrated the capacity to address these limitations by extracting complex, nonlinear relationships from large volumes of operational and meteorological data that classical statistical methods cannot adequately capture (Ejiyi et al., 2025). Deep learning architectures such as long short-term memory (LSTM) and gated recurrent unit (GRU) networks have shown consistent improvements over autoregressive and persistence-based forecasting models, particularly for short- and medium-term irradiance and wind-speed prediction (Alcañiz et al., 2023; Khan et al., 2026). Convolutional neural networks, originally developed for image recognition, have been repurposed to analyze satellite imagery, sky-camera footage, and thermal images for cloud-motion tracking and defect detection in photovoltaic modules (Ochoa-Barragán et al., 2026).</w:t>
      </w:r>
    </w:p>
    <w:p w14:paraId="0FA21536" w14:textId="77777777" w:rsidR="00C72DDA" w:rsidRPr="00C72DDA" w:rsidRDefault="00C72DDA" w:rsidP="00C72DDA">
      <w:pPr>
        <w:pBdr>
          <w:top w:val="nil"/>
          <w:left w:val="nil"/>
          <w:bottom w:val="nil"/>
          <w:right w:val="nil"/>
          <w:between w:val="nil"/>
        </w:pBdr>
        <w:ind w:firstLine="567"/>
        <w:jc w:val="both"/>
        <w:rPr>
          <w:rFonts w:ascii="Cambria" w:eastAsia="Cambria" w:hAnsi="Cambria" w:cs="Cambria"/>
        </w:rPr>
      </w:pPr>
      <w:r>
        <w:rPr>
          <w:rFonts w:ascii="Cambria" w:eastAsia="Cambria" w:hAnsi="Cambria" w:cs="Cambria"/>
        </w:rPr>
        <w:t>Beyond forecasting, reinforcement learning has enabled a shift from reactive to proactive control strategies. Multi-agent deep reinforcement learning frameworks have been applied to coordinate distributed energy resources, optimize maximum power point tracking under partial shading, and manage battery dispatch in real time, often outperforming rule-based or classical proportional-integral controllers under highly dynamic operating conditions (Shen et al., 2022; Yi et al., 2022). Metaheuristic optimization algorithms, including genetic algorithms, particle swarm optimization, and hybrid stacking ensembles, have similarly proven effective for the optimal sizing and configuration of hybrid renewable systems that combine solar, wind, and storage components (Abualigah et al., 2022; Thirunavukkarasu et al., 2023; Alghamdi et al., 2023). In parallel, AI-enabled predictive maintenance has matured into a distinct research stream, using sensor fusion, vibration analysis, and thermal imaging to estimate remaining useful life and detect incipient faults before catastrophic failure occurs (Suci et al., 2025; Abdelsattar et al., 2025).</w:t>
      </w:r>
    </w:p>
    <w:p w14:paraId="25D3A03E" w14:textId="77777777" w:rsidR="00C72DDA" w:rsidRPr="00C72DDA" w:rsidRDefault="00C72DDA" w:rsidP="00C72DDA">
      <w:pPr>
        <w:pBdr>
          <w:top w:val="nil"/>
          <w:left w:val="nil"/>
          <w:bottom w:val="nil"/>
          <w:right w:val="nil"/>
          <w:between w:val="nil"/>
        </w:pBdr>
        <w:ind w:firstLine="567"/>
        <w:jc w:val="both"/>
        <w:rPr>
          <w:rFonts w:ascii="Cambria" w:eastAsia="Cambria" w:hAnsi="Cambria" w:cs="Cambria"/>
        </w:rPr>
      </w:pPr>
      <w:r>
        <w:rPr>
          <w:rFonts w:ascii="Cambria" w:eastAsia="Cambria" w:hAnsi="Cambria" w:cs="Cambria"/>
        </w:rPr>
        <w:t>Despite this substantial body of research, a close reading of the twenty-five studies synthesized in this review reveals a persistent structural limitation: the literature remains organized around isolated technical silos rather than integrated system-level frameworks. Forecasting research typically evaluates model accuracy in isolation from downstream control decisions; optimization studies frequently assume perfect forecasts as inputs without accounting for prediction uncertainty; and predictive maintenance research is rarely connected back to energy dispatch or grid-level economic outcomes (Fan et al., 2023; Rahayu et al., 2025). Ejiyi et al. (2025) and Ochoa-Barragán et al. (2026) both note that most reviews continue to address individual components of the renewable energy value chain rather than examining how forecasting, control, and maintenance intelligence interact as a coupled system. This fragmentation limits the practical translation of AI research into deployable, end-to-end operational platforms, since a forecasting model optimized purely for statistical accuracy may not produce the type of probabilistic output required by a downstream reinforcement-learning dispatch controller, and a maintenance model trained solely on failure signatures may ignore the economic trade-offs relevant to real-time grid operation.</w:t>
      </w:r>
    </w:p>
    <w:p w14:paraId="42B72977" w14:textId="77777777" w:rsidR="00C72DDA" w:rsidRPr="00C72DDA" w:rsidRDefault="00C72DDA" w:rsidP="00C72DDA">
      <w:pPr>
        <w:pBdr>
          <w:top w:val="nil"/>
          <w:left w:val="nil"/>
          <w:bottom w:val="nil"/>
          <w:right w:val="nil"/>
          <w:between w:val="nil"/>
        </w:pBdr>
        <w:ind w:firstLine="567"/>
        <w:jc w:val="both"/>
        <w:rPr>
          <w:rFonts w:ascii="Cambria" w:eastAsia="Cambria" w:hAnsi="Cambria" w:cs="Cambria"/>
        </w:rPr>
      </w:pPr>
      <w:r>
        <w:rPr>
          <w:rFonts w:ascii="Cambria" w:eastAsia="Cambria" w:hAnsi="Cambria" w:cs="Cambria"/>
        </w:rPr>
        <w:t>This fragmentation is compounded by methodological inconsistencies across studies. Different research groups rely on heterogeneous datasets, varying temporal resolutions, and site-specific meteorological conditions, which makes direct comparison of reported performance metrics difficult and occasionally misleading (Shehab et al., 2026). Some studies benchmark forecasting gains against a naive persistence baseline, while others compare against more sophisticated statistical models, producing performance claims that are not always directly comparable across the literature. Furthermore, the computational cost and energy consumption associated with training and deploying large deep learning models are inconsistently reported, despite growing recognition that the net sustainability benefit of AI-enabled optimization must account for the energy expended to run the AI system itself (Ochoa-Barragán et al., 2026). These methodological gaps reinforce the need for a synthesis that not only aggregates reported performance figures but also critically situates them within a coherent evaluative framework, which this review aims to provide.</w:t>
      </w:r>
    </w:p>
    <w:p w14:paraId="32D66425" w14:textId="73FD9B11" w:rsidR="00C72DDA" w:rsidRPr="00C72DDA" w:rsidRDefault="00C72DDA" w:rsidP="00C72DDA">
      <w:pPr>
        <w:pBdr>
          <w:top w:val="nil"/>
          <w:left w:val="nil"/>
          <w:bottom w:val="nil"/>
          <w:right w:val="nil"/>
          <w:between w:val="nil"/>
        </w:pBdr>
        <w:ind w:firstLine="567"/>
        <w:jc w:val="both"/>
        <w:rPr>
          <w:rFonts w:ascii="Cambria" w:eastAsia="Cambria" w:hAnsi="Cambria" w:cs="Cambria"/>
        </w:rPr>
      </w:pPr>
      <w:r>
        <w:rPr>
          <w:rFonts w:ascii="Cambria" w:eastAsia="Cambria" w:hAnsi="Cambria" w:cs="Cambria"/>
        </w:rPr>
        <w:t>The novelty of this article lies in three interconnected contributions that distinguish it from prior single-domain reviews. First, rather than treating forecasting, optimization and control, and predictive maintenance as separate literatures, this review explicitly maps the interdependencies among these three functional layers, showing how uncertainty generated at the forecasting stage propagates into control decisions and how maintenance-driven asset availability, in turn, constrains achievable optimization outcomes. Second, the review consolidates quantitative performance evidence forecasting error reduction, downtime reduction, inspection-time savings, and levelized-cost improvements into a unified comparative structure that has not been previously assembled across this specific combination of twenty-five recent sources, enabling a more grounded assessment of where AI delivers the largest measurable returns. Third, by restricting the evidence base to studies published within the most recent five-year window (2021-2026), the review captures the rapid maturation of reinforcement learning, IoT-integrated deep learning, and hybrid ensemble techniques that have only become prominent in the renewable energy domain within this period, distinguishing genuinely emerging trends from earlier, now largely superseded, statistical forecasting approaches.</w:t>
      </w:r>
    </w:p>
    <w:p w14:paraId="46DE95D3" w14:textId="3C01045B" w:rsidR="001901FE" w:rsidRDefault="00C72DDA" w:rsidP="00C72DDA">
      <w:pPr>
        <w:pBdr>
          <w:top w:val="nil"/>
          <w:left w:val="nil"/>
          <w:bottom w:val="nil"/>
          <w:right w:val="nil"/>
          <w:between w:val="nil"/>
        </w:pBdr>
        <w:ind w:firstLine="567"/>
        <w:jc w:val="both"/>
        <w:rPr>
          <w:rFonts w:ascii="Cambria" w:eastAsia="Cambria" w:hAnsi="Cambria" w:cs="Cambria"/>
        </w:rPr>
      </w:pPr>
      <w:r>
        <w:rPr>
          <w:rFonts w:ascii="Cambria" w:eastAsia="Cambria" w:hAnsi="Cambria" w:cs="Cambria"/>
        </w:rPr>
        <w:t>This integrated perspective directly addresses calls in the recent literature for research that bridges component-level innovation with system-level coordination (Ochoa-Barragán et al., 2026; Singh et al., 2025). By synthesizing evidence across the full operational chain from data acquisition and forecasting through control optimization to maintenance and reliability this review provides a structured foundation for future work aimed at developing unified, explainable, and computationally efficient AI architectures capable of managing renewable energy systems holistically rather than as disconnected technical modules. The remainder of this article details the review methodology, presents the synthesized results and discussion organized around four thematic clusters, and concludes with directions for future research and practical implementation.</w:t>
      </w:r>
      <w:r>
        <w:rPr>
          <w:rFonts w:ascii="Cambria" w:eastAsia="Cambria" w:hAnsi="Cambria" w:cs="Cambria"/>
          <w:b/>
          <w:bCs/>
        </w:rPr>
        <w:tab/>
      </w:r>
    </w:p>
    <w:p w14:paraId="6426991D" w14:textId="77777777" w:rsidR="001901FE" w:rsidRDefault="001901FE">
      <w:pPr>
        <w:pBdr>
          <w:top w:val="nil"/>
          <w:left w:val="nil"/>
          <w:bottom w:val="nil"/>
          <w:right w:val="nil"/>
          <w:between w:val="nil"/>
        </w:pBdr>
        <w:ind w:firstLine="567"/>
        <w:jc w:val="both"/>
        <w:rPr>
          <w:rFonts w:ascii="Cambria" w:eastAsia="Cambria" w:hAnsi="Cambria" w:cs="Cambria"/>
          <w:b/>
          <w:bCs/>
        </w:rPr>
      </w:pPr>
    </w:p>
    <w:p w14:paraId="688A759C" w14:textId="77777777" w:rsidR="00540C97" w:rsidRDefault="00000000">
      <w:pPr>
        <w:rPr>
          <w:rFonts w:ascii="Cambria" w:eastAsia="Cambria" w:hAnsi="Cambria" w:cs="Cambria"/>
          <w:i/>
          <w:iCs/>
          <w:color w:val="FF0000"/>
        </w:rPr>
      </w:pPr>
      <w:r>
        <w:rPr>
          <w:rFonts w:ascii="Cambria" w:eastAsia="Cambria" w:hAnsi="Cambria" w:cs="Cambria"/>
          <w:b/>
          <w:bCs/>
        </w:rPr>
        <w:t>METHOD</w:t>
      </w:r>
    </w:p>
    <w:p w14:paraId="37CCE918" w14:textId="25F9504E" w:rsidR="001901FE" w:rsidRDefault="00000000">
      <w:pPr>
        <w:rPr>
          <w:rFonts w:ascii="Cambria" w:eastAsia="Cambria" w:hAnsi="Cambria" w:cs="Cambria"/>
          <w:b/>
          <w:bCs/>
        </w:rPr>
      </w:pPr>
      <w:r>
        <w:rPr>
          <w:rFonts w:ascii="Cambria" w:eastAsia="Cambria" w:hAnsi="Cambria" w:cs="Cambria"/>
          <w:b/>
          <w:bCs/>
        </w:rPr>
        <w:tab/>
      </w:r>
    </w:p>
    <w:p w14:paraId="2F86FF06" w14:textId="77777777" w:rsidR="00C72DDA" w:rsidRPr="00032933" w:rsidRDefault="00C72DDA" w:rsidP="00C72DDA">
      <w:pPr>
        <w:ind w:firstLine="720"/>
        <w:jc w:val="both"/>
        <w:rPr>
          <w:rFonts w:ascii="Cambria" w:eastAsia="Calibri" w:hAnsi="Cambria" w:cs="Calibri"/>
        </w:rPr>
      </w:pPr>
      <w:r w:rsidRPr="00032933">
        <w:rPr>
          <w:rFonts w:ascii="Cambria" w:eastAsia="Calibri" w:hAnsi="Cambria" w:cs="Calibri"/>
        </w:rPr>
        <w:t>This study adopts a systematic literature review approach, following a structured four-stage workflow adapted from established evidence-synthesis practices in engineering and energy research. The objective of the methodology is to ensure a transparent, reproducible, and unbiased selection of relevant scientific literature addressing the application of artificial intelligence to the optimization of renewable energy systems.</w:t>
      </w:r>
    </w:p>
    <w:p w14:paraId="68F26437" w14:textId="77777777" w:rsidR="00C72DDA" w:rsidRPr="00032933" w:rsidRDefault="00C72DDA" w:rsidP="00C72DDA">
      <w:pPr>
        <w:ind w:firstLine="720"/>
        <w:jc w:val="both"/>
        <w:rPr>
          <w:rFonts w:ascii="Cambria" w:eastAsia="Calibri" w:hAnsi="Cambria" w:cs="Calibri"/>
        </w:rPr>
      </w:pPr>
      <w:r w:rsidRPr="00032933">
        <w:rPr>
          <w:rFonts w:ascii="Cambria" w:eastAsia="Calibri" w:hAnsi="Cambria" w:cs="Calibri"/>
        </w:rPr>
        <w:t>The review process began with an identification stage, in which a systematic search was conducted across Scopus, ScienceDirect, IEEE Xplore, and Google Scholar using combinations of the keywords "artificial intelligence," "machine learning," "deep learning," "optimization," and "renewable energy systems." The search was restricted to peer-reviewed journal articles published between 2021 and 2026 to ensure the currency of the evidence base, given the rapid pace of methodological development in this field. This initial search yielded 187 records identified through database searching, together with 14 additional records identified through supplementary citation tracking, for an aggregated pool of 201 records that were then screened for duplication.</w:t>
      </w:r>
    </w:p>
    <w:p w14:paraId="35FB866C" w14:textId="77777777" w:rsidR="00C72DDA" w:rsidRPr="00032933" w:rsidRDefault="00C72DDA" w:rsidP="00C72DDA">
      <w:pPr>
        <w:ind w:firstLine="720"/>
        <w:jc w:val="both"/>
        <w:rPr>
          <w:rFonts w:ascii="Cambria" w:eastAsia="Calibri" w:hAnsi="Cambria" w:cs="Calibri"/>
        </w:rPr>
      </w:pPr>
      <w:r w:rsidRPr="00032933">
        <w:rPr>
          <w:rFonts w:ascii="Cambria" w:eastAsia="Calibri" w:hAnsi="Cambria" w:cs="Calibri"/>
        </w:rPr>
        <w:t>During the screening stage, 32 duplicate records arising from overlapping database coverage were removed, leaving 169 records for a title-and-abstract screening step in which articles were assessed against a set of inclusion criteria: (a) explicit application of an AI, machine learning, or optimization technique; (b) direct relevance to solar, wind, or hybrid renewable energy systems; and (c) presence of quantifiable performance outcomes. Articles that addressed AI algorithms in isolation from an energy application, or that focused exclusively on non-renewable generation, were excluded at this stage.</w:t>
      </w:r>
    </w:p>
    <w:p w14:paraId="0D609B0E" w14:textId="77777777" w:rsidR="00C72DDA" w:rsidRPr="00032933" w:rsidRDefault="00C72DDA" w:rsidP="00C72DDA">
      <w:pPr>
        <w:ind w:firstLine="720"/>
        <w:jc w:val="both"/>
        <w:rPr>
          <w:rFonts w:ascii="Cambria" w:eastAsia="Calibri" w:hAnsi="Cambria" w:cs="Calibri"/>
        </w:rPr>
      </w:pPr>
      <w:r w:rsidRPr="00032933">
        <w:rPr>
          <w:rFonts w:ascii="Cambria" w:eastAsia="Calibri" w:hAnsi="Cambria" w:cs="Calibri"/>
        </w:rPr>
        <w:t>In the eligibility stage, the 61 remaining full-text articles were evaluated against stricter criteria requiring peer-reviewed publication status, an active and verifiable digital object identifier (DOI), and accessibility through Google Scholar or the publisher's platform. Articles lacking sufficient methodological detail, empirical validation, or clear reporting of performance metrics were excluded, removing 36 articles at this stage. This process ultimately yielded twenty-five studies retained for the final qualitative and thematic synthesis, comprising the reference base of this article.</w:t>
      </w:r>
    </w:p>
    <w:p w14:paraId="09351BB9" w14:textId="4E2915F1" w:rsidR="00FB2489" w:rsidRPr="00032933" w:rsidRDefault="00C72DDA" w:rsidP="00C72DDA">
      <w:pPr>
        <w:ind w:firstLine="720"/>
        <w:jc w:val="both"/>
        <w:rPr>
          <w:rFonts w:ascii="Cambria" w:hAnsi="Cambria"/>
        </w:rPr>
      </w:pPr>
      <w:r w:rsidRPr="00032933">
        <w:rPr>
          <w:rFonts w:ascii="Cambria" w:eastAsia="Calibri" w:hAnsi="Cambria" w:cs="Calibri"/>
        </w:rPr>
        <w:t>In the final inclusion and synthesis stage, the twenty-five selected studies were organized into four thematic clusters that reflect the principal functional domains of AI application identified across the literature: (1) forecasting and prediction of renewable generation, (2) optimization and control of energy conversion and dispatch, (3) fault detection, diagnosis, and predictive maintenance, and (4) system-level integration, including smart grids and hybrid configurations. Data extracted from each study included the AI technique employed, the specific renewable energy application, and any quantitative performance metrics reported (e.g., percentage reduction in forecasting error, downtime, or operating cost). These extracted data were subsequently used to construct the comparative synthesis presented in Section 3. Figure 1 illustrates the complete review workflow.</w:t>
      </w:r>
    </w:p>
    <w:p w14:paraId="5575481F" w14:textId="48B6D5D8" w:rsidR="00FB2489" w:rsidRPr="00595AF1" w:rsidRDefault="00C72DDA" w:rsidP="00FB2489">
      <w:pPr>
        <w:spacing w:before="200"/>
        <w:jc w:val="center"/>
        <w:rPr>
          <w:rFonts w:ascii="Cambria" w:hAnsi="Cambria"/>
        </w:rPr>
      </w:pPr>
      <w:r>
        <w:rPr>
          <w:rFonts w:ascii="Cambria" w:hAnsi="Cambria"/>
          <w:noProof/>
        </w:rPr>
        <w:drawing>
          <wp:inline distT="0" distB="0" distL="0" distR="0" wp14:anchorId="29369B1C" wp14:editId="1B4E3EFD">
            <wp:extent cx="3480698" cy="40068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3483916" cy="4010555"/>
                    </a:xfrm>
                    <a:prstGeom prst="rect">
                      <a:avLst/>
                    </a:prstGeom>
                  </pic:spPr>
                </pic:pic>
              </a:graphicData>
            </a:graphic>
          </wp:inline>
        </w:drawing>
      </w:r>
    </w:p>
    <w:p w14:paraId="5FE8818E" w14:textId="4C83220E" w:rsidR="00763429" w:rsidRPr="00032933" w:rsidRDefault="00FB2489" w:rsidP="00032933">
      <w:pPr>
        <w:pBdr>
          <w:top w:val="nil"/>
          <w:left w:val="nil"/>
          <w:bottom w:val="nil"/>
          <w:right w:val="nil"/>
          <w:between w:val="nil"/>
        </w:pBdr>
        <w:spacing w:after="240"/>
        <w:ind w:firstLine="567"/>
        <w:jc w:val="center"/>
        <w:rPr>
          <w:rFonts w:ascii="Cambria" w:eastAsia="Cambria" w:hAnsi="Cambria" w:cs="Cambria"/>
          <w:b/>
          <w:bCs/>
        </w:rPr>
      </w:pPr>
      <w:r>
        <w:rPr>
          <w:rFonts w:ascii="Cambria" w:eastAsia="Calibri" w:hAnsi="Cambria" w:cs="Calibri"/>
          <w:b/>
          <w:bCs/>
          <w:i/>
          <w:iCs/>
          <w:sz w:val="20"/>
          <w:szCs w:val="20"/>
        </w:rPr>
        <w:t>Figure 1. Systematic literature review workflow applied for the identification, screening, and synthesis of studies on AI optimization in renewable energy systems</w:t>
      </w:r>
      <w:r w:rsidR="00032933">
        <w:rPr>
          <w:rFonts w:ascii="Cambria" w:eastAsia="Cambria" w:hAnsi="Cambria" w:cs="Cambria"/>
        </w:rPr>
        <w:t>.</w:t>
      </w:r>
    </w:p>
    <w:p w14:paraId="702A4620" w14:textId="37C197B4" w:rsidR="001901FE" w:rsidRDefault="00000000">
      <w:pPr>
        <w:pBdr>
          <w:top w:val="nil"/>
          <w:left w:val="nil"/>
          <w:bottom w:val="nil"/>
          <w:right w:val="nil"/>
          <w:between w:val="nil"/>
        </w:pBdr>
        <w:jc w:val="both"/>
        <w:rPr>
          <w:rFonts w:ascii="Cambria" w:eastAsia="Cambria" w:hAnsi="Cambria" w:cs="Cambria"/>
          <w:b/>
          <w:bCs/>
        </w:rPr>
      </w:pPr>
      <w:r>
        <w:rPr>
          <w:rFonts w:ascii="Cambria" w:eastAsia="Cambria" w:hAnsi="Cambria" w:cs="Cambria"/>
          <w:b/>
          <w:bCs/>
        </w:rPr>
        <w:t>RESULTS AND DISCUSSION</w:t>
      </w:r>
    </w:p>
    <w:p w14:paraId="51499052" w14:textId="77777777" w:rsidR="00C72DDA" w:rsidRDefault="00FB2489" w:rsidP="00FB2489">
      <w:pPr>
        <w:jc w:val="both"/>
        <w:rPr>
          <w:rFonts w:ascii="Cambria" w:eastAsia="Calibri" w:hAnsi="Cambria" w:cs="Calibri"/>
          <w:sz w:val="22"/>
          <w:szCs w:val="22"/>
        </w:rPr>
      </w:pPr>
      <w:r>
        <w:rPr>
          <w:rFonts w:ascii="Cambria" w:eastAsia="Calibri" w:hAnsi="Cambria" w:cs="Calibri"/>
          <w:sz w:val="22"/>
          <w:szCs w:val="22"/>
        </w:rPr>
        <w:tab/>
      </w:r>
    </w:p>
    <w:p w14:paraId="5E07DAD8" w14:textId="77651C23" w:rsidR="00C72DDA" w:rsidRPr="001C3264" w:rsidRDefault="00C72DDA" w:rsidP="00C72DDA">
      <w:pPr>
        <w:pStyle w:val="Heading2"/>
        <w:spacing w:before="280"/>
        <w:rPr>
          <w:rFonts w:ascii="Cambria" w:hAnsi="Cambria"/>
          <w:sz w:val="24"/>
          <w:szCs w:val="24"/>
        </w:rPr>
      </w:pPr>
      <w:r>
        <w:rPr>
          <w:rFonts w:ascii="Cambria" w:hAnsi="Cambria"/>
          <w:sz w:val="24"/>
          <w:szCs w:val="24"/>
        </w:rPr>
        <w:t>Forecasting and Prediction of Renewable Generation</w:t>
      </w:r>
    </w:p>
    <w:p w14:paraId="6E63868E" w14:textId="3C5A3620" w:rsidR="00C72DDA" w:rsidRPr="001C3264" w:rsidRDefault="00C72DDA" w:rsidP="00C72DDA">
      <w:pPr>
        <w:ind w:firstLine="630"/>
        <w:jc w:val="both"/>
        <w:rPr>
          <w:rFonts w:ascii="Cambria" w:hAnsi="Cambria"/>
        </w:rPr>
      </w:pPr>
      <w:r>
        <w:rPr>
          <w:rFonts w:ascii="Cambria" w:hAnsi="Cambria"/>
        </w:rPr>
        <w:t>The synthesized literature demonstrates a clear and consistent pattern: deep learning-based forecasting models systematically outperform classical statistical approaches such as autoregressive integrated moving average (ARIMA) models, particularly for short- and medium-term horizons. Shoaei et al. (2024) and Khan et al. (2026) both report that recurrent architectures, especially LSTM and GRU networks, capture nonlinear temporal dependencies in solar irradiance and wind-speed data that conventional time-series methods fail to represent, translating into measurable reductions in root mean square error. Alcañiz et al. (2023) further note that hybrid models combining convolutional feature extraction with recurrent temporal modeling commonly referred to as CNN-LSTM architectures achieve superior performance specifically for intra-day and intra-hour forecasting, where rapid cloud-induced fluctuations are most consequential for grid balancing.</w:t>
      </w:r>
    </w:p>
    <w:p w14:paraId="7B2DD99D" w14:textId="5658F6A9" w:rsidR="00C72DDA" w:rsidRPr="001C3264" w:rsidRDefault="00C72DDA" w:rsidP="00C72DDA">
      <w:pPr>
        <w:ind w:firstLine="630"/>
        <w:jc w:val="both"/>
        <w:rPr>
          <w:rFonts w:ascii="Cambria" w:hAnsi="Cambria"/>
        </w:rPr>
      </w:pPr>
      <w:r>
        <w:rPr>
          <w:rFonts w:ascii="Cambria" w:hAnsi="Cambria"/>
        </w:rPr>
        <w:t>A second important finding concerns ensemble and stacking approaches. Alghamdi et al. (2023) demonstrate that combining multiple base learners through stacking, optimized using metaheuristic algorithms such as the Al-Biruni Earth Radius method, reduces forecast variance and improves robustness across changing weather regimes compared with any single constituent model. This finding is corroborated by Ejiyi et al. (2025), who observe that ensemble methods are particularly valuable when renewable output exhibits non-stationary behavior, since no single model consistently dominates under all atmospheric conditions. Collectively, these results suggest that the marginal benefit of increasingly complex deep architectures is now being matched, and in some cases exceeded, by carefully engineered ensembles that balance accuracy with computational efficiency an important consideration for utilities with limited computing infrastructure.</w:t>
      </w:r>
    </w:p>
    <w:p w14:paraId="290248C2" w14:textId="77777777" w:rsidR="00C72DDA" w:rsidRPr="001C3264" w:rsidRDefault="00C72DDA" w:rsidP="00C72DDA">
      <w:pPr>
        <w:ind w:firstLine="630"/>
        <w:jc w:val="both"/>
        <w:rPr>
          <w:rFonts w:ascii="Cambria" w:hAnsi="Cambria"/>
        </w:rPr>
      </w:pPr>
      <w:r>
        <w:rPr>
          <w:rFonts w:ascii="Cambria" w:hAnsi="Cambria"/>
        </w:rPr>
        <w:t>A recurring limitation identified across the forecasting literature, however, is the reduced robustness of purely data-driven models during seasonal transitions or atypical weather events, together with their limited interpretability. Ochoa-Barragán et al. (2026) emphasize that black-box deep learning forecasts, while statistically accurate, provide limited insight into the physical drivers of prediction error, complicating their integration into safety-critical grid operations. This observation motivates the growing interest in probabilistic and uncertainty-aware forecasting, discussed further in Section 3.4. Consistent with these findings, Ahmed et al. (2025) apply AI-based time-series analysis to solar energy production data across multiple regions of the United States, showing that data-driven forecasting enables more responsive smart energy management even under heterogeneous regional weather regimes. Smart et al. (2025) similarly report that AI-based forecasting and optimization approaches consistently outperform conventional statistical benchmarks across a broad range of renewable energy applications, reinforcing the generalizability of the forecasting gains documented throughout this review.</w:t>
      </w:r>
    </w:p>
    <w:p w14:paraId="57AE0388" w14:textId="23FB3676" w:rsidR="00C72DDA" w:rsidRPr="001C3264" w:rsidRDefault="00C72DDA" w:rsidP="00C72DDA">
      <w:pPr>
        <w:pStyle w:val="Heading2"/>
        <w:spacing w:before="280"/>
        <w:rPr>
          <w:rFonts w:ascii="Cambria" w:hAnsi="Cambria"/>
          <w:sz w:val="24"/>
          <w:szCs w:val="24"/>
        </w:rPr>
      </w:pPr>
      <w:r>
        <w:rPr>
          <w:rFonts w:ascii="Cambria" w:hAnsi="Cambria"/>
          <w:sz w:val="24"/>
          <w:szCs w:val="24"/>
        </w:rPr>
        <w:t>Optimization and Control of Energy Conversion and Dispatch</w:t>
      </w:r>
    </w:p>
    <w:p w14:paraId="49CA5611" w14:textId="77777777" w:rsidR="00C72DDA" w:rsidRPr="001C3264" w:rsidRDefault="00C72DDA" w:rsidP="00C72DDA">
      <w:pPr>
        <w:ind w:firstLine="720"/>
        <w:jc w:val="both"/>
        <w:rPr>
          <w:rFonts w:ascii="Cambria" w:hAnsi="Cambria"/>
        </w:rPr>
      </w:pPr>
      <w:r>
        <w:rPr>
          <w:rFonts w:ascii="Cambria" w:hAnsi="Cambria"/>
        </w:rPr>
        <w:t>At the control level, the literature converges on reinforcement learning as the most transformative AI paradigm for renewable energy optimization. Shen et al. (2022) present a multi-agent deep reinforcement learning framework for building-integrated energy systems that coordinates multiple distributed resources without requiring a fully centralized model of system dynamics, achieving improved energy efficiency relative to conventional rule-based energy management systems. Yi et al. (2022) extend this paradigm to a tightly coupled nuclear-renewable hybrid system, demonstrating that reinforcement-learning-based optimization can manage highly complex, multi-source generation portfolios where classical optimal control methods become computationally intractable.</w:t>
      </w:r>
    </w:p>
    <w:p w14:paraId="7254A5F6" w14:textId="2BBE1157" w:rsidR="00C72DDA" w:rsidRPr="001C3264" w:rsidRDefault="00C72DDA" w:rsidP="00C72DDA">
      <w:pPr>
        <w:ind w:firstLine="720"/>
        <w:jc w:val="both"/>
        <w:rPr>
          <w:rFonts w:ascii="Cambria" w:hAnsi="Cambria"/>
        </w:rPr>
      </w:pPr>
      <w:r>
        <w:rPr>
          <w:rFonts w:ascii="Cambria" w:hAnsi="Cambria"/>
        </w:rPr>
        <w:t>For device-level control, particularly maximum power point tracking (MPPT) in photovoltaic systems, AI-based approaches consistently outperform classical Perturb-and-Observe or Incremental Conductance algorithms under partial shading conditions, where the power-voltage curve exhibits multiple local maxima that can trap conventional controllers (Ochoa-Barragán et al., 2026). Metaheuristic optimization algorithms, meanwhile, have proven especially valuable for the strategic sizing and configuration of hybrid renewable systems. Abualigah et al. (2022) provide comprehensive evidence that genetic algorithms, particle swarm optimization, and their hybrid variants consistently identify system configurations combinations of solar capacity, wind capacity, and battery storage that achieve lower levelized cost of energy than configurations derived from simplified heuristic rules. Thirunavukkarasu et al. (2023) reinforce this conclusion across a broader survey of hybrid system optimization techniques, noting that AI-based approaches are particularly advantageous when the design space includes discontinuous or highly constrained decision variables that are difficult to handle using classical linear or convex optimization.</w:t>
      </w:r>
    </w:p>
    <w:p w14:paraId="346FBBC3" w14:textId="77777777" w:rsidR="00C72DDA" w:rsidRDefault="00C72DDA" w:rsidP="00C72DDA">
      <w:pPr>
        <w:ind w:firstLine="720"/>
        <w:jc w:val="both"/>
        <w:rPr>
          <w:rFonts w:ascii="Cambria" w:hAnsi="Cambria"/>
        </w:rPr>
      </w:pPr>
      <w:r>
        <w:rPr>
          <w:rFonts w:ascii="Cambria" w:hAnsi="Cambria"/>
        </w:rPr>
        <w:t>Table 1 consolidates the principal AI techniques identified across the reviewed literature, mapping each technique to its primary application domain, the typical magnitude of reported performance improvement, and representative supporting studies.</w:t>
      </w:r>
    </w:p>
    <w:p w14:paraId="6F33E5BC" w14:textId="77777777" w:rsidR="00C72DDA" w:rsidRDefault="00C72DDA" w:rsidP="00C72DDA">
      <w:pPr>
        <w:jc w:val="both"/>
        <w:rPr>
          <w:rFonts w:ascii="Cambria" w:hAnsi="Cambria"/>
        </w:rPr>
      </w:pPr>
    </w:p>
    <w:p w14:paraId="3706E69C" w14:textId="77777777" w:rsidR="00C72DDA" w:rsidRDefault="00C72DDA" w:rsidP="00C72DDA">
      <w:pPr>
        <w:spacing w:before="120"/>
        <w:jc w:val="center"/>
        <w:rPr>
          <w:rFonts w:ascii="Cambria" w:hAnsi="Cambria"/>
          <w:i/>
          <w:iCs/>
        </w:rPr>
      </w:pPr>
      <w:r>
        <w:rPr>
          <w:rFonts w:ascii="Cambria" w:hAnsi="Cambria"/>
          <w:i/>
          <w:iCs/>
        </w:rPr>
        <w:t>Table 1. Summary of AI techniques applied to renewable energy optimization, mapped to application domain and reported performance gains.</w:t>
      </w:r>
    </w:p>
    <w:p w14:paraId="2378C8AD" w14:textId="77777777" w:rsidR="00540C97" w:rsidRPr="001C3264" w:rsidRDefault="00540C97" w:rsidP="00C72DDA">
      <w:pPr>
        <w:spacing w:before="120"/>
        <w:jc w:val="center"/>
        <w:rPr>
          <w:rFonts w:ascii="Cambria" w:hAnsi="Cambria"/>
        </w:rPr>
      </w:pPr>
    </w:p>
    <w:tbl>
      <w:tblPr>
        <w:tblStyle w:val="TableGrid"/>
        <w:tblW w:w="9000" w:type="dxa"/>
        <w:jc w:val="center"/>
        <w:tblLook w:val="04A0" w:firstRow="1" w:lastRow="0" w:firstColumn="1" w:lastColumn="0" w:noHBand="0" w:noVBand="1"/>
      </w:tblPr>
      <w:tblGrid>
        <w:gridCol w:w="2375"/>
        <w:gridCol w:w="2295"/>
        <w:gridCol w:w="2215"/>
        <w:gridCol w:w="2115"/>
      </w:tblGrid>
      <w:tr w:rsidR="00C72DDA" w:rsidRPr="001C3264" w14:paraId="0189D0A8" w14:textId="77777777" w:rsidTr="00C72DDA">
        <w:trPr>
          <w:jc w:val="center"/>
        </w:trPr>
        <w:tc>
          <w:tcPr>
            <w:tcW w:w="2375" w:type="dxa"/>
          </w:tcPr>
          <w:p w14:paraId="3D83092C" w14:textId="77777777" w:rsidR="00C72DDA" w:rsidRPr="001C3264" w:rsidRDefault="00C72DDA" w:rsidP="000C3975">
            <w:pPr>
              <w:rPr>
                <w:rFonts w:ascii="Cambria" w:hAnsi="Cambria"/>
              </w:rPr>
            </w:pPr>
            <w:r>
              <w:rPr>
                <w:rFonts w:ascii="Cambria" w:hAnsi="Cambria"/>
                <w:b/>
                <w:bCs/>
              </w:rPr>
              <w:t>AI Technique</w:t>
            </w:r>
          </w:p>
        </w:tc>
        <w:tc>
          <w:tcPr>
            <w:tcW w:w="2295" w:type="dxa"/>
          </w:tcPr>
          <w:p w14:paraId="6703B4F3" w14:textId="77777777" w:rsidR="00C72DDA" w:rsidRPr="001C3264" w:rsidRDefault="00C72DDA" w:rsidP="000C3975">
            <w:pPr>
              <w:rPr>
                <w:rFonts w:ascii="Cambria" w:hAnsi="Cambria"/>
              </w:rPr>
            </w:pPr>
            <w:r>
              <w:rPr>
                <w:rFonts w:ascii="Cambria" w:hAnsi="Cambria"/>
                <w:b/>
                <w:bCs/>
              </w:rPr>
              <w:t>Primary Application Domain</w:t>
            </w:r>
          </w:p>
        </w:tc>
        <w:tc>
          <w:tcPr>
            <w:tcW w:w="2215" w:type="dxa"/>
          </w:tcPr>
          <w:p w14:paraId="1441B18F" w14:textId="77777777" w:rsidR="00C72DDA" w:rsidRPr="001C3264" w:rsidRDefault="00C72DDA" w:rsidP="000C3975">
            <w:pPr>
              <w:rPr>
                <w:rFonts w:ascii="Cambria" w:hAnsi="Cambria"/>
              </w:rPr>
            </w:pPr>
            <w:r>
              <w:rPr>
                <w:rFonts w:ascii="Cambria" w:hAnsi="Cambria"/>
                <w:b/>
                <w:bCs/>
              </w:rPr>
              <w:t>Typical Performance Gain</w:t>
            </w:r>
          </w:p>
        </w:tc>
        <w:tc>
          <w:tcPr>
            <w:tcW w:w="2115" w:type="dxa"/>
          </w:tcPr>
          <w:p w14:paraId="37458847" w14:textId="77777777" w:rsidR="00C72DDA" w:rsidRPr="001C3264" w:rsidRDefault="00C72DDA" w:rsidP="000C3975">
            <w:pPr>
              <w:rPr>
                <w:rFonts w:ascii="Cambria" w:hAnsi="Cambria"/>
              </w:rPr>
            </w:pPr>
            <w:r>
              <w:rPr>
                <w:rFonts w:ascii="Cambria" w:hAnsi="Cambria"/>
                <w:b/>
                <w:bCs/>
              </w:rPr>
              <w:t>Representative Studies</w:t>
            </w:r>
          </w:p>
        </w:tc>
      </w:tr>
      <w:tr w:rsidR="00C72DDA" w:rsidRPr="001C3264" w14:paraId="34226476" w14:textId="77777777" w:rsidTr="00C72DDA">
        <w:trPr>
          <w:jc w:val="center"/>
        </w:trPr>
        <w:tc>
          <w:tcPr>
            <w:tcW w:w="2375" w:type="dxa"/>
          </w:tcPr>
          <w:p w14:paraId="1F166DBD" w14:textId="77777777" w:rsidR="00C72DDA" w:rsidRPr="001C3264" w:rsidRDefault="00C72DDA" w:rsidP="000C3975">
            <w:pPr>
              <w:rPr>
                <w:rFonts w:ascii="Cambria" w:hAnsi="Cambria"/>
              </w:rPr>
            </w:pPr>
            <w:r>
              <w:rPr>
                <w:rFonts w:ascii="Cambria" w:hAnsi="Cambria"/>
              </w:rPr>
              <w:t>LSTM / GRU (Deep Learning)</w:t>
            </w:r>
          </w:p>
        </w:tc>
        <w:tc>
          <w:tcPr>
            <w:tcW w:w="2295" w:type="dxa"/>
          </w:tcPr>
          <w:p w14:paraId="3A7CA1AF" w14:textId="77777777" w:rsidR="00C72DDA" w:rsidRPr="001C3264" w:rsidRDefault="00C72DDA" w:rsidP="000C3975">
            <w:pPr>
              <w:rPr>
                <w:rFonts w:ascii="Cambria" w:hAnsi="Cambria"/>
              </w:rPr>
            </w:pPr>
            <w:r>
              <w:rPr>
                <w:rFonts w:ascii="Cambria" w:hAnsi="Cambria"/>
              </w:rPr>
              <w:t>Solar irradiance &amp; wind speed forecasting</w:t>
            </w:r>
          </w:p>
        </w:tc>
        <w:tc>
          <w:tcPr>
            <w:tcW w:w="2215" w:type="dxa"/>
          </w:tcPr>
          <w:p w14:paraId="5A539A7D" w14:textId="77777777" w:rsidR="00C72DDA" w:rsidRPr="001C3264" w:rsidRDefault="00C72DDA" w:rsidP="000C3975">
            <w:pPr>
              <w:rPr>
                <w:rFonts w:ascii="Cambria" w:hAnsi="Cambria"/>
              </w:rPr>
            </w:pPr>
            <w:r>
              <w:rPr>
                <w:rFonts w:ascii="Cambria" w:hAnsi="Cambria"/>
              </w:rPr>
              <w:t>15-30% lower RMSE vs. statistical models</w:t>
            </w:r>
          </w:p>
        </w:tc>
        <w:tc>
          <w:tcPr>
            <w:tcW w:w="2115" w:type="dxa"/>
          </w:tcPr>
          <w:p w14:paraId="545AA2BF" w14:textId="77777777" w:rsidR="00C72DDA" w:rsidRPr="001C3264" w:rsidRDefault="00C72DDA" w:rsidP="000C3975">
            <w:pPr>
              <w:rPr>
                <w:rFonts w:ascii="Cambria" w:hAnsi="Cambria"/>
              </w:rPr>
            </w:pPr>
            <w:r>
              <w:rPr>
                <w:rFonts w:ascii="Cambria" w:hAnsi="Cambria"/>
              </w:rPr>
              <w:t>Shoaei et al. (2024); Khan et al. (2026)</w:t>
            </w:r>
          </w:p>
        </w:tc>
      </w:tr>
      <w:tr w:rsidR="00C72DDA" w:rsidRPr="001C3264" w14:paraId="2D8DB642" w14:textId="77777777" w:rsidTr="00C72DDA">
        <w:trPr>
          <w:jc w:val="center"/>
        </w:trPr>
        <w:tc>
          <w:tcPr>
            <w:tcW w:w="2375" w:type="dxa"/>
          </w:tcPr>
          <w:p w14:paraId="2674CC00" w14:textId="77777777" w:rsidR="00C72DDA" w:rsidRPr="001C3264" w:rsidRDefault="00C72DDA" w:rsidP="000C3975">
            <w:pPr>
              <w:rPr>
                <w:rFonts w:ascii="Cambria" w:hAnsi="Cambria"/>
              </w:rPr>
            </w:pPr>
            <w:r>
              <w:rPr>
                <w:rFonts w:ascii="Cambria" w:hAnsi="Cambria"/>
              </w:rPr>
              <w:t>Convolutional Neural Networks</w:t>
            </w:r>
          </w:p>
        </w:tc>
        <w:tc>
          <w:tcPr>
            <w:tcW w:w="2295" w:type="dxa"/>
          </w:tcPr>
          <w:p w14:paraId="69C2DA43" w14:textId="77777777" w:rsidR="00C72DDA" w:rsidRPr="001C3264" w:rsidRDefault="00C72DDA" w:rsidP="000C3975">
            <w:pPr>
              <w:rPr>
                <w:rFonts w:ascii="Cambria" w:hAnsi="Cambria"/>
              </w:rPr>
            </w:pPr>
            <w:r>
              <w:rPr>
                <w:rFonts w:ascii="Cambria" w:hAnsi="Cambria"/>
              </w:rPr>
              <w:t>Fault detection, image-based cloud/defect analysis</w:t>
            </w:r>
          </w:p>
        </w:tc>
        <w:tc>
          <w:tcPr>
            <w:tcW w:w="2215" w:type="dxa"/>
          </w:tcPr>
          <w:p w14:paraId="733C3A5E" w14:textId="77777777" w:rsidR="00C72DDA" w:rsidRPr="001C3264" w:rsidRDefault="00C72DDA" w:rsidP="000C3975">
            <w:pPr>
              <w:rPr>
                <w:rFonts w:ascii="Cambria" w:hAnsi="Cambria"/>
              </w:rPr>
            </w:pPr>
            <w:r>
              <w:rPr>
                <w:rFonts w:ascii="Cambria" w:hAnsi="Cambria"/>
              </w:rPr>
              <w:t>Up to 90% faster inspection cycles</w:t>
            </w:r>
          </w:p>
        </w:tc>
        <w:tc>
          <w:tcPr>
            <w:tcW w:w="2115" w:type="dxa"/>
          </w:tcPr>
          <w:p w14:paraId="689815EB" w14:textId="77777777" w:rsidR="00C72DDA" w:rsidRPr="001C3264" w:rsidRDefault="00C72DDA" w:rsidP="000C3975">
            <w:pPr>
              <w:rPr>
                <w:rFonts w:ascii="Cambria" w:hAnsi="Cambria"/>
              </w:rPr>
            </w:pPr>
            <w:r>
              <w:rPr>
                <w:rFonts w:ascii="Cambria" w:hAnsi="Cambria"/>
              </w:rPr>
              <w:t>Apata et al. (2026); Wada et al. (2024)</w:t>
            </w:r>
          </w:p>
        </w:tc>
      </w:tr>
      <w:tr w:rsidR="00C72DDA" w:rsidRPr="001C3264" w14:paraId="34B575B0" w14:textId="77777777" w:rsidTr="00C72DDA">
        <w:trPr>
          <w:jc w:val="center"/>
        </w:trPr>
        <w:tc>
          <w:tcPr>
            <w:tcW w:w="2375" w:type="dxa"/>
          </w:tcPr>
          <w:p w14:paraId="3095CC4F" w14:textId="77777777" w:rsidR="00C72DDA" w:rsidRPr="001C3264" w:rsidRDefault="00C72DDA" w:rsidP="000C3975">
            <w:pPr>
              <w:rPr>
                <w:rFonts w:ascii="Cambria" w:hAnsi="Cambria"/>
              </w:rPr>
            </w:pPr>
            <w:r>
              <w:rPr>
                <w:rFonts w:ascii="Cambria" w:hAnsi="Cambria"/>
              </w:rPr>
              <w:t>Deep Reinforcement Learning</w:t>
            </w:r>
          </w:p>
        </w:tc>
        <w:tc>
          <w:tcPr>
            <w:tcW w:w="2295" w:type="dxa"/>
          </w:tcPr>
          <w:p w14:paraId="7DCBAD5D" w14:textId="77777777" w:rsidR="00C72DDA" w:rsidRPr="001C3264" w:rsidRDefault="00C72DDA" w:rsidP="000C3975">
            <w:pPr>
              <w:rPr>
                <w:rFonts w:ascii="Cambria" w:hAnsi="Cambria"/>
              </w:rPr>
            </w:pPr>
            <w:r>
              <w:rPr>
                <w:rFonts w:ascii="Cambria" w:hAnsi="Cambria"/>
              </w:rPr>
              <w:t>Real-time dispatch, MPPT, storage coordination</w:t>
            </w:r>
          </w:p>
        </w:tc>
        <w:tc>
          <w:tcPr>
            <w:tcW w:w="2215" w:type="dxa"/>
          </w:tcPr>
          <w:p w14:paraId="09C6D19C" w14:textId="77777777" w:rsidR="00C72DDA" w:rsidRPr="001C3264" w:rsidRDefault="00C72DDA" w:rsidP="000C3975">
            <w:pPr>
              <w:rPr>
                <w:rFonts w:ascii="Cambria" w:hAnsi="Cambria"/>
              </w:rPr>
            </w:pPr>
            <w:r>
              <w:rPr>
                <w:rFonts w:ascii="Cambria" w:hAnsi="Cambria"/>
              </w:rPr>
              <w:t>10-20% improvement in energy yield</w:t>
            </w:r>
          </w:p>
        </w:tc>
        <w:tc>
          <w:tcPr>
            <w:tcW w:w="2115" w:type="dxa"/>
          </w:tcPr>
          <w:p w14:paraId="2B63F4DC" w14:textId="77777777" w:rsidR="00C72DDA" w:rsidRPr="001C3264" w:rsidRDefault="00C72DDA" w:rsidP="000C3975">
            <w:pPr>
              <w:rPr>
                <w:rFonts w:ascii="Cambria" w:hAnsi="Cambria"/>
              </w:rPr>
            </w:pPr>
            <w:r>
              <w:rPr>
                <w:rFonts w:ascii="Cambria" w:hAnsi="Cambria"/>
              </w:rPr>
              <w:t>Shen et al. (2022); Yi et al. (2022)</w:t>
            </w:r>
          </w:p>
        </w:tc>
      </w:tr>
      <w:tr w:rsidR="00C72DDA" w:rsidRPr="001C3264" w14:paraId="30FBCB7F" w14:textId="77777777" w:rsidTr="00C72DDA">
        <w:trPr>
          <w:jc w:val="center"/>
        </w:trPr>
        <w:tc>
          <w:tcPr>
            <w:tcW w:w="2375" w:type="dxa"/>
          </w:tcPr>
          <w:p w14:paraId="3070ABA4" w14:textId="77777777" w:rsidR="00C72DDA" w:rsidRPr="001C3264" w:rsidRDefault="00C72DDA" w:rsidP="000C3975">
            <w:pPr>
              <w:rPr>
                <w:rFonts w:ascii="Cambria" w:hAnsi="Cambria"/>
              </w:rPr>
            </w:pPr>
            <w:r>
              <w:rPr>
                <w:rFonts w:ascii="Cambria" w:hAnsi="Cambria"/>
              </w:rPr>
              <w:t>Ensemble/Stacking Models</w:t>
            </w:r>
          </w:p>
        </w:tc>
        <w:tc>
          <w:tcPr>
            <w:tcW w:w="2295" w:type="dxa"/>
          </w:tcPr>
          <w:p w14:paraId="6D759016" w14:textId="77777777" w:rsidR="00C72DDA" w:rsidRPr="001C3264" w:rsidRDefault="00C72DDA" w:rsidP="000C3975">
            <w:pPr>
              <w:rPr>
                <w:rFonts w:ascii="Cambria" w:hAnsi="Cambria"/>
              </w:rPr>
            </w:pPr>
            <w:r>
              <w:rPr>
                <w:rFonts w:ascii="Cambria" w:hAnsi="Cambria"/>
              </w:rPr>
              <w:t>Multi-source renewable output prediction</w:t>
            </w:r>
          </w:p>
        </w:tc>
        <w:tc>
          <w:tcPr>
            <w:tcW w:w="2215" w:type="dxa"/>
          </w:tcPr>
          <w:p w14:paraId="52259035" w14:textId="77777777" w:rsidR="00C72DDA" w:rsidRPr="001C3264" w:rsidRDefault="00C72DDA" w:rsidP="000C3975">
            <w:pPr>
              <w:rPr>
                <w:rFonts w:ascii="Cambria" w:hAnsi="Cambria"/>
              </w:rPr>
            </w:pPr>
            <w:r>
              <w:rPr>
                <w:rFonts w:ascii="Cambria" w:hAnsi="Cambria"/>
              </w:rPr>
              <w:t>5-15% higher forecasting accuracy</w:t>
            </w:r>
          </w:p>
        </w:tc>
        <w:tc>
          <w:tcPr>
            <w:tcW w:w="2115" w:type="dxa"/>
          </w:tcPr>
          <w:p w14:paraId="061A109B" w14:textId="77777777" w:rsidR="00C72DDA" w:rsidRPr="001C3264" w:rsidRDefault="00C72DDA" w:rsidP="000C3975">
            <w:pPr>
              <w:rPr>
                <w:rFonts w:ascii="Cambria" w:hAnsi="Cambria"/>
              </w:rPr>
            </w:pPr>
            <w:r>
              <w:rPr>
                <w:rFonts w:ascii="Cambria" w:hAnsi="Cambria"/>
              </w:rPr>
              <w:t>Alghamdi et al. (2023); Alcañiz et al. (2023)</w:t>
            </w:r>
          </w:p>
        </w:tc>
      </w:tr>
      <w:tr w:rsidR="00C72DDA" w:rsidRPr="001C3264" w14:paraId="5E822377" w14:textId="77777777" w:rsidTr="00C72DDA">
        <w:trPr>
          <w:jc w:val="center"/>
        </w:trPr>
        <w:tc>
          <w:tcPr>
            <w:tcW w:w="2375" w:type="dxa"/>
          </w:tcPr>
          <w:p w14:paraId="46BAA206" w14:textId="77777777" w:rsidR="00C72DDA" w:rsidRPr="001C3264" w:rsidRDefault="00C72DDA" w:rsidP="000C3975">
            <w:pPr>
              <w:rPr>
                <w:rFonts w:ascii="Cambria" w:hAnsi="Cambria"/>
              </w:rPr>
            </w:pPr>
            <w:r>
              <w:rPr>
                <w:rFonts w:ascii="Cambria" w:hAnsi="Cambria"/>
              </w:rPr>
              <w:t>Metaheuristic Optimization (GA, PSO, etc.)</w:t>
            </w:r>
          </w:p>
        </w:tc>
        <w:tc>
          <w:tcPr>
            <w:tcW w:w="2295" w:type="dxa"/>
          </w:tcPr>
          <w:p w14:paraId="00E6A6B0" w14:textId="77777777" w:rsidR="00C72DDA" w:rsidRPr="001C3264" w:rsidRDefault="00C72DDA" w:rsidP="000C3975">
            <w:pPr>
              <w:rPr>
                <w:rFonts w:ascii="Cambria" w:hAnsi="Cambria"/>
              </w:rPr>
            </w:pPr>
            <w:r>
              <w:rPr>
                <w:rFonts w:ascii="Cambria" w:hAnsi="Cambria"/>
              </w:rPr>
              <w:t>Hybrid system sizing and configuration</w:t>
            </w:r>
          </w:p>
        </w:tc>
        <w:tc>
          <w:tcPr>
            <w:tcW w:w="2215" w:type="dxa"/>
          </w:tcPr>
          <w:p w14:paraId="2B954DA2" w14:textId="77777777" w:rsidR="00C72DDA" w:rsidRPr="001C3264" w:rsidRDefault="00C72DDA" w:rsidP="000C3975">
            <w:pPr>
              <w:rPr>
                <w:rFonts w:ascii="Cambria" w:hAnsi="Cambria"/>
              </w:rPr>
            </w:pPr>
            <w:r>
              <w:rPr>
                <w:rFonts w:ascii="Cambria" w:hAnsi="Cambria"/>
              </w:rPr>
              <w:t>8-25% reduction in levelized cost of energy</w:t>
            </w:r>
          </w:p>
        </w:tc>
        <w:tc>
          <w:tcPr>
            <w:tcW w:w="2115" w:type="dxa"/>
          </w:tcPr>
          <w:p w14:paraId="19D01353" w14:textId="77777777" w:rsidR="00C72DDA" w:rsidRPr="001C3264" w:rsidRDefault="00C72DDA" w:rsidP="000C3975">
            <w:pPr>
              <w:rPr>
                <w:rFonts w:ascii="Cambria" w:hAnsi="Cambria"/>
              </w:rPr>
            </w:pPr>
            <w:r>
              <w:rPr>
                <w:rFonts w:ascii="Cambria" w:hAnsi="Cambria"/>
              </w:rPr>
              <w:t>Abualigah et al. (2022); Thirunavukkarasu et al. (2023)</w:t>
            </w:r>
          </w:p>
        </w:tc>
      </w:tr>
      <w:tr w:rsidR="00C72DDA" w:rsidRPr="001C3264" w14:paraId="74C4634F" w14:textId="77777777" w:rsidTr="00C72DDA">
        <w:trPr>
          <w:jc w:val="center"/>
        </w:trPr>
        <w:tc>
          <w:tcPr>
            <w:tcW w:w="2375" w:type="dxa"/>
          </w:tcPr>
          <w:p w14:paraId="4197794A" w14:textId="77777777" w:rsidR="00C72DDA" w:rsidRPr="001C3264" w:rsidRDefault="00C72DDA" w:rsidP="000C3975">
            <w:pPr>
              <w:rPr>
                <w:rFonts w:ascii="Cambria" w:hAnsi="Cambria"/>
              </w:rPr>
            </w:pPr>
            <w:r>
              <w:rPr>
                <w:rFonts w:ascii="Cambria" w:hAnsi="Cambria"/>
              </w:rPr>
              <w:t>IoT-integrated Deep Learning</w:t>
            </w:r>
          </w:p>
        </w:tc>
        <w:tc>
          <w:tcPr>
            <w:tcW w:w="2295" w:type="dxa"/>
          </w:tcPr>
          <w:p w14:paraId="6B14E100" w14:textId="77777777" w:rsidR="00C72DDA" w:rsidRPr="001C3264" w:rsidRDefault="00C72DDA" w:rsidP="000C3975">
            <w:pPr>
              <w:rPr>
                <w:rFonts w:ascii="Cambria" w:hAnsi="Cambria"/>
              </w:rPr>
            </w:pPr>
            <w:r>
              <w:rPr>
                <w:rFonts w:ascii="Cambria" w:hAnsi="Cambria"/>
              </w:rPr>
              <w:t>Smart-grid resource allocation</w:t>
            </w:r>
          </w:p>
        </w:tc>
        <w:tc>
          <w:tcPr>
            <w:tcW w:w="2215" w:type="dxa"/>
          </w:tcPr>
          <w:p w14:paraId="1B08A407" w14:textId="77777777" w:rsidR="00C72DDA" w:rsidRPr="001C3264" w:rsidRDefault="00C72DDA" w:rsidP="000C3975">
            <w:pPr>
              <w:rPr>
                <w:rFonts w:ascii="Cambria" w:hAnsi="Cambria"/>
              </w:rPr>
            </w:pPr>
            <w:r>
              <w:rPr>
                <w:rFonts w:ascii="Cambria" w:hAnsi="Cambria"/>
              </w:rPr>
              <w:t>Up to 20% reduction in operational cost</w:t>
            </w:r>
          </w:p>
        </w:tc>
        <w:tc>
          <w:tcPr>
            <w:tcW w:w="2115" w:type="dxa"/>
          </w:tcPr>
          <w:p w14:paraId="35897118" w14:textId="77777777" w:rsidR="00C72DDA" w:rsidRPr="001C3264" w:rsidRDefault="00C72DDA" w:rsidP="000C3975">
            <w:pPr>
              <w:rPr>
                <w:rFonts w:ascii="Cambria" w:hAnsi="Cambria"/>
              </w:rPr>
            </w:pPr>
            <w:r>
              <w:rPr>
                <w:rFonts w:ascii="Cambria" w:hAnsi="Cambria"/>
              </w:rPr>
              <w:t>Singh et al. (2025)</w:t>
            </w:r>
          </w:p>
        </w:tc>
      </w:tr>
    </w:tbl>
    <w:p w14:paraId="27485673" w14:textId="530FD404" w:rsidR="00C72DDA" w:rsidRPr="001C3264" w:rsidRDefault="00C72DDA" w:rsidP="00C72DDA">
      <w:pPr>
        <w:pStyle w:val="Heading2"/>
        <w:spacing w:before="280"/>
        <w:rPr>
          <w:rFonts w:ascii="Cambria" w:hAnsi="Cambria"/>
          <w:sz w:val="24"/>
          <w:szCs w:val="24"/>
        </w:rPr>
      </w:pPr>
      <w:r>
        <w:rPr>
          <w:rFonts w:ascii="Cambria" w:hAnsi="Cambria"/>
          <w:sz w:val="24"/>
          <w:szCs w:val="24"/>
        </w:rPr>
        <w:t>Fault Detection, Diagnosis, and Predictive Maintenance</w:t>
      </w:r>
    </w:p>
    <w:p w14:paraId="1D2934D3" w14:textId="77777777" w:rsidR="00C72DDA" w:rsidRPr="001C3264" w:rsidRDefault="00C72DDA" w:rsidP="00C72DDA">
      <w:pPr>
        <w:ind w:firstLine="630"/>
        <w:jc w:val="both"/>
        <w:rPr>
          <w:rFonts w:ascii="Cambria" w:hAnsi="Cambria"/>
        </w:rPr>
      </w:pPr>
      <w:r>
        <w:rPr>
          <w:rFonts w:ascii="Cambria" w:hAnsi="Cambria"/>
        </w:rPr>
        <w:t>Predictive maintenance emerges as one of the most economically consequential applications of AI in the reviewed literature. Wada et al. (2024) report that AI-driven predictive maintenance frameworks, which combine sensor data with machine learning classifiers, enable operators to shift from time-based to condition-based maintenance scheduling, directly reducing both unplanned downtime and unnecessary preventive interventions. Apata et al. (2026) provide a comprehensive synthesis of this domain, concluding that convolutional neural networks applied to thermal and visual imagery achieve high accuracy in detecting hot spots, cracked cells, and delamination in photovoltaic modules without requiring manual inspection, while sensor-based time-series classifiers are more effective for detecting inverter and electrical wiring faults.</w:t>
      </w:r>
    </w:p>
    <w:p w14:paraId="50DC3B39" w14:textId="77777777" w:rsidR="00C72DDA" w:rsidRPr="001C3264" w:rsidRDefault="00C72DDA" w:rsidP="00C72DDA">
      <w:pPr>
        <w:ind w:firstLine="630"/>
        <w:jc w:val="both"/>
        <w:rPr>
          <w:rFonts w:ascii="Cambria" w:hAnsi="Cambria"/>
        </w:rPr>
      </w:pPr>
      <w:r>
        <w:rPr>
          <w:rFonts w:ascii="Cambria" w:hAnsi="Cambria"/>
        </w:rPr>
        <w:t>Quantitatively, the reviewed studies report substantial and consistent operational benefits. Predictive maintenance interventions are associated with cost reductions in the range of twenty to thirty percent relative to reactive maintenance regimes (Suci et al., 2025; Dawodu et al., 2024), while automated inspection using drone-based or fixed imaging systems can reduce inspection time by as much as ninety percent compared with manual field surveys (Ochoa-Barragán et al., 2026). Abdelsattar et al. (2025) further demonstrate that ensemble machine learning models applied to wind turbine power-output prediction can simultaneously serve a diagnostic function, since systematic deviations between predicted and observed output often signal early-stage component degradation before it becomes detectable through conventional condition monitoring. These converging results indicate that predictive maintenance is not merely a cost-saving application but also functions as an early-warning layer that improves the reliability of the forecasting and control layers discussed above, reinforcing the interconnected, system-level perspective proposed in Section 1.4 of this review.</w:t>
      </w:r>
    </w:p>
    <w:p w14:paraId="2BD8D8DE" w14:textId="77777777" w:rsidR="00C72DDA" w:rsidRDefault="00C72DDA" w:rsidP="00C72DDA">
      <w:pPr>
        <w:ind w:firstLine="630"/>
        <w:jc w:val="both"/>
        <w:rPr>
          <w:rFonts w:ascii="Cambria" w:hAnsi="Cambria"/>
        </w:rPr>
      </w:pPr>
      <w:r>
        <w:rPr>
          <w:rFonts w:ascii="Cambria" w:hAnsi="Cambria"/>
        </w:rPr>
        <w:t>Table 2 aggregates the quantitative performance indicators reported across the twenty-five reviewed studies, providing a consolidated view of the operational impact achieved through AI-enabled optimization across forecasting, control, and maintenance functions.</w:t>
      </w:r>
    </w:p>
    <w:p w14:paraId="04B9A838" w14:textId="77777777" w:rsidR="00C72DDA" w:rsidRPr="001C3264" w:rsidRDefault="00C72DDA" w:rsidP="00C72DDA">
      <w:pPr>
        <w:spacing w:before="120"/>
        <w:jc w:val="center"/>
        <w:rPr>
          <w:rFonts w:ascii="Cambria" w:hAnsi="Cambria"/>
        </w:rPr>
      </w:pPr>
      <w:r>
        <w:rPr>
          <w:rFonts w:ascii="Cambria" w:hAnsi="Cambria"/>
          <w:i/>
          <w:iCs/>
        </w:rPr>
        <w:t>Table 2. Consolidated quantitative performance indicators reported across the reviewed literature on AI-enabled renewable energy optimization.</w:t>
      </w:r>
    </w:p>
    <w:tbl>
      <w:tblPr>
        <w:tblStyle w:val="TableGrid"/>
        <w:tblW w:w="9000" w:type="dxa"/>
        <w:jc w:val="center"/>
        <w:tblLook w:val="04A0" w:firstRow="1" w:lastRow="0" w:firstColumn="1" w:lastColumn="0" w:noHBand="0" w:noVBand="1"/>
      </w:tblPr>
      <w:tblGrid>
        <w:gridCol w:w="3000"/>
        <w:gridCol w:w="2800"/>
        <w:gridCol w:w="3200"/>
      </w:tblGrid>
      <w:tr w:rsidR="00C72DDA" w:rsidRPr="001C3264" w14:paraId="57921344" w14:textId="77777777" w:rsidTr="00C72DDA">
        <w:trPr>
          <w:jc w:val="center"/>
        </w:trPr>
        <w:tc>
          <w:tcPr>
            <w:tcW w:w="3000" w:type="dxa"/>
          </w:tcPr>
          <w:p w14:paraId="39048A5A" w14:textId="77777777" w:rsidR="00C72DDA" w:rsidRPr="001C3264" w:rsidRDefault="00C72DDA" w:rsidP="000C3975">
            <w:pPr>
              <w:rPr>
                <w:rFonts w:ascii="Cambria" w:hAnsi="Cambria"/>
              </w:rPr>
            </w:pPr>
            <w:r>
              <w:rPr>
                <w:rFonts w:ascii="Cambria" w:hAnsi="Cambria"/>
                <w:b/>
                <w:bCs/>
              </w:rPr>
              <w:t>Performance Indicator</w:t>
            </w:r>
          </w:p>
        </w:tc>
        <w:tc>
          <w:tcPr>
            <w:tcW w:w="2800" w:type="dxa"/>
          </w:tcPr>
          <w:p w14:paraId="7E3C6008" w14:textId="77777777" w:rsidR="00C72DDA" w:rsidRPr="001C3264" w:rsidRDefault="00C72DDA" w:rsidP="000C3975">
            <w:pPr>
              <w:rPr>
                <w:rFonts w:ascii="Cambria" w:hAnsi="Cambria"/>
              </w:rPr>
            </w:pPr>
            <w:r>
              <w:rPr>
                <w:rFonts w:ascii="Cambria" w:hAnsi="Cambria"/>
                <w:b/>
                <w:bCs/>
              </w:rPr>
              <w:t>Reported Improvement Range</w:t>
            </w:r>
          </w:p>
        </w:tc>
        <w:tc>
          <w:tcPr>
            <w:tcW w:w="3200" w:type="dxa"/>
          </w:tcPr>
          <w:p w14:paraId="6D3CFBBA" w14:textId="77777777" w:rsidR="00C72DDA" w:rsidRPr="001C3264" w:rsidRDefault="00C72DDA" w:rsidP="000C3975">
            <w:pPr>
              <w:rPr>
                <w:rFonts w:ascii="Cambria" w:hAnsi="Cambria"/>
              </w:rPr>
            </w:pPr>
            <w:r>
              <w:rPr>
                <w:rFonts w:ascii="Cambria" w:hAnsi="Cambria"/>
                <w:b/>
                <w:bCs/>
              </w:rPr>
              <w:t>Application Context</w:t>
            </w:r>
          </w:p>
        </w:tc>
      </w:tr>
      <w:tr w:rsidR="00C72DDA" w:rsidRPr="001C3264" w14:paraId="3F42D2B0" w14:textId="77777777" w:rsidTr="00C72DDA">
        <w:trPr>
          <w:jc w:val="center"/>
        </w:trPr>
        <w:tc>
          <w:tcPr>
            <w:tcW w:w="3000" w:type="dxa"/>
          </w:tcPr>
          <w:p w14:paraId="19FA0BEB" w14:textId="77777777" w:rsidR="00C72DDA" w:rsidRPr="001C3264" w:rsidRDefault="00C72DDA" w:rsidP="000C3975">
            <w:pPr>
              <w:rPr>
                <w:rFonts w:ascii="Cambria" w:hAnsi="Cambria"/>
              </w:rPr>
            </w:pPr>
            <w:r>
              <w:rPr>
                <w:rFonts w:ascii="Cambria" w:hAnsi="Cambria"/>
              </w:rPr>
              <w:t>Forecasting accuracy (irradiance/wind)</w:t>
            </w:r>
          </w:p>
        </w:tc>
        <w:tc>
          <w:tcPr>
            <w:tcW w:w="2800" w:type="dxa"/>
          </w:tcPr>
          <w:p w14:paraId="28A805A6" w14:textId="77777777" w:rsidR="00C72DDA" w:rsidRPr="001C3264" w:rsidRDefault="00C72DDA" w:rsidP="000C3975">
            <w:pPr>
              <w:rPr>
                <w:rFonts w:ascii="Cambria" w:hAnsi="Cambria"/>
              </w:rPr>
            </w:pPr>
            <w:r>
              <w:rPr>
                <w:rFonts w:ascii="Cambria" w:hAnsi="Cambria"/>
              </w:rPr>
              <w:t>10% - 30% error reduction</w:t>
            </w:r>
          </w:p>
        </w:tc>
        <w:tc>
          <w:tcPr>
            <w:tcW w:w="3200" w:type="dxa"/>
          </w:tcPr>
          <w:p w14:paraId="50ED6B86" w14:textId="77777777" w:rsidR="00C72DDA" w:rsidRPr="001C3264" w:rsidRDefault="00C72DDA" w:rsidP="000C3975">
            <w:pPr>
              <w:rPr>
                <w:rFonts w:ascii="Cambria" w:hAnsi="Cambria"/>
              </w:rPr>
            </w:pPr>
            <w:r>
              <w:rPr>
                <w:rFonts w:ascii="Cambria" w:hAnsi="Cambria"/>
              </w:rPr>
              <w:t>Short- to medium-term generation forecasting</w:t>
            </w:r>
          </w:p>
        </w:tc>
      </w:tr>
      <w:tr w:rsidR="00C72DDA" w:rsidRPr="001C3264" w14:paraId="5B08B35A" w14:textId="77777777" w:rsidTr="00C72DDA">
        <w:trPr>
          <w:jc w:val="center"/>
        </w:trPr>
        <w:tc>
          <w:tcPr>
            <w:tcW w:w="3000" w:type="dxa"/>
          </w:tcPr>
          <w:p w14:paraId="01999012" w14:textId="77777777" w:rsidR="00C72DDA" w:rsidRPr="001C3264" w:rsidRDefault="00C72DDA" w:rsidP="000C3975">
            <w:pPr>
              <w:rPr>
                <w:rFonts w:ascii="Cambria" w:hAnsi="Cambria"/>
              </w:rPr>
            </w:pPr>
            <w:r>
              <w:rPr>
                <w:rFonts w:ascii="Cambria" w:hAnsi="Cambria"/>
              </w:rPr>
              <w:t>Predictive maintenance cost</w:t>
            </w:r>
          </w:p>
        </w:tc>
        <w:tc>
          <w:tcPr>
            <w:tcW w:w="2800" w:type="dxa"/>
          </w:tcPr>
          <w:p w14:paraId="7B38A5C1" w14:textId="77777777" w:rsidR="00C72DDA" w:rsidRPr="001C3264" w:rsidRDefault="00C72DDA" w:rsidP="000C3975">
            <w:pPr>
              <w:rPr>
                <w:rFonts w:ascii="Cambria" w:hAnsi="Cambria"/>
              </w:rPr>
            </w:pPr>
            <w:r>
              <w:rPr>
                <w:rFonts w:ascii="Cambria" w:hAnsi="Cambria"/>
              </w:rPr>
              <w:t>20% - 30% cost reduction</w:t>
            </w:r>
          </w:p>
        </w:tc>
        <w:tc>
          <w:tcPr>
            <w:tcW w:w="3200" w:type="dxa"/>
          </w:tcPr>
          <w:p w14:paraId="473BC531" w14:textId="77777777" w:rsidR="00C72DDA" w:rsidRPr="001C3264" w:rsidRDefault="00C72DDA" w:rsidP="000C3975">
            <w:pPr>
              <w:rPr>
                <w:rFonts w:ascii="Cambria" w:hAnsi="Cambria"/>
              </w:rPr>
            </w:pPr>
            <w:r>
              <w:rPr>
                <w:rFonts w:ascii="Cambria" w:hAnsi="Cambria"/>
              </w:rPr>
              <w:t>Wind turbine and PV component maintenance</w:t>
            </w:r>
          </w:p>
        </w:tc>
      </w:tr>
      <w:tr w:rsidR="00C72DDA" w:rsidRPr="001C3264" w14:paraId="3722732F" w14:textId="77777777" w:rsidTr="00C72DDA">
        <w:trPr>
          <w:jc w:val="center"/>
        </w:trPr>
        <w:tc>
          <w:tcPr>
            <w:tcW w:w="3000" w:type="dxa"/>
          </w:tcPr>
          <w:p w14:paraId="77D579A1" w14:textId="77777777" w:rsidR="00C72DDA" w:rsidRPr="001C3264" w:rsidRDefault="00C72DDA" w:rsidP="000C3975">
            <w:pPr>
              <w:rPr>
                <w:rFonts w:ascii="Cambria" w:hAnsi="Cambria"/>
              </w:rPr>
            </w:pPr>
            <w:r>
              <w:rPr>
                <w:rFonts w:ascii="Cambria" w:hAnsi="Cambria"/>
              </w:rPr>
              <w:t>Unplanned downtime</w:t>
            </w:r>
          </w:p>
        </w:tc>
        <w:tc>
          <w:tcPr>
            <w:tcW w:w="2800" w:type="dxa"/>
          </w:tcPr>
          <w:p w14:paraId="53A811F1" w14:textId="77777777" w:rsidR="00C72DDA" w:rsidRPr="001C3264" w:rsidRDefault="00C72DDA" w:rsidP="000C3975">
            <w:pPr>
              <w:rPr>
                <w:rFonts w:ascii="Cambria" w:hAnsi="Cambria"/>
              </w:rPr>
            </w:pPr>
            <w:r>
              <w:rPr>
                <w:rFonts w:ascii="Cambria" w:hAnsi="Cambria"/>
              </w:rPr>
              <w:t>Up to 25% reduction</w:t>
            </w:r>
          </w:p>
        </w:tc>
        <w:tc>
          <w:tcPr>
            <w:tcW w:w="3200" w:type="dxa"/>
          </w:tcPr>
          <w:p w14:paraId="71C53F83" w14:textId="77777777" w:rsidR="00C72DDA" w:rsidRPr="001C3264" w:rsidRDefault="00C72DDA" w:rsidP="000C3975">
            <w:pPr>
              <w:rPr>
                <w:rFonts w:ascii="Cambria" w:hAnsi="Cambria"/>
              </w:rPr>
            </w:pPr>
            <w:r>
              <w:rPr>
                <w:rFonts w:ascii="Cambria" w:hAnsi="Cambria"/>
              </w:rPr>
              <w:t>Fault detection and diagnosis systems</w:t>
            </w:r>
          </w:p>
        </w:tc>
      </w:tr>
      <w:tr w:rsidR="00C72DDA" w:rsidRPr="001C3264" w14:paraId="782AB1C9" w14:textId="77777777" w:rsidTr="00C72DDA">
        <w:trPr>
          <w:jc w:val="center"/>
        </w:trPr>
        <w:tc>
          <w:tcPr>
            <w:tcW w:w="3000" w:type="dxa"/>
          </w:tcPr>
          <w:p w14:paraId="3FA9AFCF" w14:textId="77777777" w:rsidR="00C72DDA" w:rsidRPr="001C3264" w:rsidRDefault="00C72DDA" w:rsidP="000C3975">
            <w:pPr>
              <w:rPr>
                <w:rFonts w:ascii="Cambria" w:hAnsi="Cambria"/>
              </w:rPr>
            </w:pPr>
            <w:r>
              <w:rPr>
                <w:rFonts w:ascii="Cambria" w:hAnsi="Cambria"/>
              </w:rPr>
              <w:t>Inspection time</w:t>
            </w:r>
          </w:p>
        </w:tc>
        <w:tc>
          <w:tcPr>
            <w:tcW w:w="2800" w:type="dxa"/>
          </w:tcPr>
          <w:p w14:paraId="6BCA7AF4" w14:textId="77777777" w:rsidR="00C72DDA" w:rsidRPr="001C3264" w:rsidRDefault="00C72DDA" w:rsidP="000C3975">
            <w:pPr>
              <w:rPr>
                <w:rFonts w:ascii="Cambria" w:hAnsi="Cambria"/>
              </w:rPr>
            </w:pPr>
            <w:r>
              <w:rPr>
                <w:rFonts w:ascii="Cambria" w:hAnsi="Cambria"/>
              </w:rPr>
              <w:t>Up to 90% reduction</w:t>
            </w:r>
          </w:p>
        </w:tc>
        <w:tc>
          <w:tcPr>
            <w:tcW w:w="3200" w:type="dxa"/>
          </w:tcPr>
          <w:p w14:paraId="51DBCBEA" w14:textId="77777777" w:rsidR="00C72DDA" w:rsidRPr="001C3264" w:rsidRDefault="00C72DDA" w:rsidP="000C3975">
            <w:pPr>
              <w:rPr>
                <w:rFonts w:ascii="Cambria" w:hAnsi="Cambria"/>
              </w:rPr>
            </w:pPr>
            <w:r>
              <w:rPr>
                <w:rFonts w:ascii="Cambria" w:hAnsi="Cambria"/>
              </w:rPr>
              <w:t>Automated visual/thermal inspection</w:t>
            </w:r>
          </w:p>
        </w:tc>
      </w:tr>
      <w:tr w:rsidR="00C72DDA" w:rsidRPr="001C3264" w14:paraId="23B874F9" w14:textId="77777777" w:rsidTr="00C72DDA">
        <w:trPr>
          <w:jc w:val="center"/>
        </w:trPr>
        <w:tc>
          <w:tcPr>
            <w:tcW w:w="3000" w:type="dxa"/>
          </w:tcPr>
          <w:p w14:paraId="18F36DCC" w14:textId="77777777" w:rsidR="00C72DDA" w:rsidRPr="001C3264" w:rsidRDefault="00C72DDA" w:rsidP="000C3975">
            <w:pPr>
              <w:rPr>
                <w:rFonts w:ascii="Cambria" w:hAnsi="Cambria"/>
              </w:rPr>
            </w:pPr>
            <w:r>
              <w:rPr>
                <w:rFonts w:ascii="Cambria" w:hAnsi="Cambria"/>
              </w:rPr>
              <w:t>System lifespan</w:t>
            </w:r>
          </w:p>
        </w:tc>
        <w:tc>
          <w:tcPr>
            <w:tcW w:w="2800" w:type="dxa"/>
          </w:tcPr>
          <w:p w14:paraId="4DC7F5AA" w14:textId="77777777" w:rsidR="00C72DDA" w:rsidRPr="001C3264" w:rsidRDefault="00C72DDA" w:rsidP="000C3975">
            <w:pPr>
              <w:rPr>
                <w:rFonts w:ascii="Cambria" w:hAnsi="Cambria"/>
              </w:rPr>
            </w:pPr>
            <w:r>
              <w:rPr>
                <w:rFonts w:ascii="Cambria" w:hAnsi="Cambria"/>
              </w:rPr>
              <w:t>Approximately 25% extension</w:t>
            </w:r>
          </w:p>
        </w:tc>
        <w:tc>
          <w:tcPr>
            <w:tcW w:w="3200" w:type="dxa"/>
          </w:tcPr>
          <w:p w14:paraId="0B284A56" w14:textId="77777777" w:rsidR="00C72DDA" w:rsidRPr="001C3264" w:rsidRDefault="00C72DDA" w:rsidP="000C3975">
            <w:pPr>
              <w:rPr>
                <w:rFonts w:ascii="Cambria" w:hAnsi="Cambria"/>
              </w:rPr>
            </w:pPr>
            <w:r>
              <w:rPr>
                <w:rFonts w:ascii="Cambria" w:hAnsi="Cambria"/>
              </w:rPr>
              <w:t>Condition-based maintenance scheduling</w:t>
            </w:r>
          </w:p>
        </w:tc>
      </w:tr>
      <w:tr w:rsidR="00C72DDA" w:rsidRPr="001C3264" w14:paraId="6A19B456" w14:textId="77777777" w:rsidTr="00C72DDA">
        <w:trPr>
          <w:jc w:val="center"/>
        </w:trPr>
        <w:tc>
          <w:tcPr>
            <w:tcW w:w="3000" w:type="dxa"/>
          </w:tcPr>
          <w:p w14:paraId="766C42FB" w14:textId="77777777" w:rsidR="00C72DDA" w:rsidRPr="001C3264" w:rsidRDefault="00C72DDA" w:rsidP="000C3975">
            <w:pPr>
              <w:rPr>
                <w:rFonts w:ascii="Cambria" w:hAnsi="Cambria"/>
              </w:rPr>
            </w:pPr>
            <w:r>
              <w:rPr>
                <w:rFonts w:ascii="Cambria" w:hAnsi="Cambria"/>
              </w:rPr>
              <w:t>Energy dispatch/operational efficiency</w:t>
            </w:r>
          </w:p>
        </w:tc>
        <w:tc>
          <w:tcPr>
            <w:tcW w:w="2800" w:type="dxa"/>
          </w:tcPr>
          <w:p w14:paraId="32527ED0" w14:textId="77777777" w:rsidR="00C72DDA" w:rsidRPr="001C3264" w:rsidRDefault="00C72DDA" w:rsidP="000C3975">
            <w:pPr>
              <w:rPr>
                <w:rFonts w:ascii="Cambria" w:hAnsi="Cambria"/>
              </w:rPr>
            </w:pPr>
            <w:r>
              <w:rPr>
                <w:rFonts w:ascii="Cambria" w:hAnsi="Cambria"/>
              </w:rPr>
              <w:t>10% - 20% improvement</w:t>
            </w:r>
          </w:p>
        </w:tc>
        <w:tc>
          <w:tcPr>
            <w:tcW w:w="3200" w:type="dxa"/>
          </w:tcPr>
          <w:p w14:paraId="21D7AD22" w14:textId="77777777" w:rsidR="00C72DDA" w:rsidRPr="001C3264" w:rsidRDefault="00C72DDA" w:rsidP="000C3975">
            <w:pPr>
              <w:rPr>
                <w:rFonts w:ascii="Cambria" w:hAnsi="Cambria"/>
              </w:rPr>
            </w:pPr>
            <w:r>
              <w:rPr>
                <w:rFonts w:ascii="Cambria" w:hAnsi="Cambria"/>
              </w:rPr>
              <w:t>Reinforcement-learning-based control</w:t>
            </w:r>
          </w:p>
        </w:tc>
      </w:tr>
      <w:tr w:rsidR="00C72DDA" w:rsidRPr="001C3264" w14:paraId="51235128" w14:textId="77777777" w:rsidTr="00C72DDA">
        <w:trPr>
          <w:jc w:val="center"/>
        </w:trPr>
        <w:tc>
          <w:tcPr>
            <w:tcW w:w="3000" w:type="dxa"/>
          </w:tcPr>
          <w:p w14:paraId="77282FEA" w14:textId="77777777" w:rsidR="00C72DDA" w:rsidRPr="001C3264" w:rsidRDefault="00C72DDA" w:rsidP="000C3975">
            <w:pPr>
              <w:rPr>
                <w:rFonts w:ascii="Cambria" w:hAnsi="Cambria"/>
              </w:rPr>
            </w:pPr>
            <w:r>
              <w:rPr>
                <w:rFonts w:ascii="Cambria" w:hAnsi="Cambria"/>
              </w:rPr>
              <w:t>Levelized cost of energy (hybrid systems)</w:t>
            </w:r>
          </w:p>
        </w:tc>
        <w:tc>
          <w:tcPr>
            <w:tcW w:w="2800" w:type="dxa"/>
          </w:tcPr>
          <w:p w14:paraId="5BC31AB1" w14:textId="77777777" w:rsidR="00C72DDA" w:rsidRPr="001C3264" w:rsidRDefault="00C72DDA" w:rsidP="000C3975">
            <w:pPr>
              <w:rPr>
                <w:rFonts w:ascii="Cambria" w:hAnsi="Cambria"/>
              </w:rPr>
            </w:pPr>
            <w:r>
              <w:rPr>
                <w:rFonts w:ascii="Cambria" w:hAnsi="Cambria"/>
              </w:rPr>
              <w:t>8% - 25% reduction</w:t>
            </w:r>
          </w:p>
        </w:tc>
        <w:tc>
          <w:tcPr>
            <w:tcW w:w="3200" w:type="dxa"/>
          </w:tcPr>
          <w:p w14:paraId="66E3EDB6" w14:textId="77777777" w:rsidR="00C72DDA" w:rsidRPr="001C3264" w:rsidRDefault="00C72DDA" w:rsidP="000C3975">
            <w:pPr>
              <w:rPr>
                <w:rFonts w:ascii="Cambria" w:hAnsi="Cambria"/>
              </w:rPr>
            </w:pPr>
            <w:r>
              <w:rPr>
                <w:rFonts w:ascii="Cambria" w:hAnsi="Cambria"/>
              </w:rPr>
              <w:t>Metaheuristic-optimized system sizing</w:t>
            </w:r>
          </w:p>
        </w:tc>
      </w:tr>
    </w:tbl>
    <w:p w14:paraId="762BC0EB" w14:textId="13367604" w:rsidR="00C72DDA" w:rsidRPr="001C3264" w:rsidRDefault="00C72DDA" w:rsidP="00C72DDA">
      <w:pPr>
        <w:pStyle w:val="Heading2"/>
        <w:spacing w:before="280"/>
        <w:rPr>
          <w:rFonts w:ascii="Cambria" w:hAnsi="Cambria"/>
          <w:sz w:val="24"/>
          <w:szCs w:val="24"/>
        </w:rPr>
      </w:pPr>
      <w:r>
        <w:rPr>
          <w:rFonts w:ascii="Cambria" w:hAnsi="Cambria"/>
          <w:sz w:val="24"/>
          <w:szCs w:val="24"/>
        </w:rPr>
        <w:t>System Integration, Smart Grids, and Emerging Frontiers</w:t>
      </w:r>
    </w:p>
    <w:p w14:paraId="0794F1E2" w14:textId="77777777" w:rsidR="00C72DDA" w:rsidRPr="001C3264" w:rsidRDefault="00C72DDA" w:rsidP="00C72DDA">
      <w:pPr>
        <w:ind w:firstLine="630"/>
        <w:jc w:val="both"/>
        <w:rPr>
          <w:rFonts w:ascii="Cambria" w:hAnsi="Cambria"/>
        </w:rPr>
      </w:pPr>
      <w:r>
        <w:rPr>
          <w:rFonts w:ascii="Cambria" w:hAnsi="Cambria"/>
        </w:rPr>
        <w:t>Beyond component-level applications, several reviewed studies address the role of AI in coordinating renewable energy assets at the system and grid level. Singh et al. (2025) present an IoT-integrated deep learning framework for real-time adaptive resource allocation in smart energy systems, demonstrating that combining edge-level sensing with cloud-based learning models improves grid responsiveness while reducing communication latency. Rahayu et al. (2025) similarly emphasize that the integration of machine learning into smart-grid architectures enables more effective demand-response coordination, allowing renewable generation forecasts to be directly linked to flexible load management strategies. Fan et al. (2023) situate these developments within the broader context of the United Nations Sustainable Development Goals, arguing that AI-enabled renewable energy optimization contributes not only to technical efficiency but also to environmental health outcomes through reduced reliance on fossil-fuel-based balancing capacity. Enoch et al. (2025) further illustrate the practical translation of these system-level strategies, documenting how AI-driven forecasting, optimal siting, and demand-side management have been deployed in flagship projects such as Tesla's Powerpack, the Brooklyn Microgrid, and Google DeepMind's data-center energy optimization, underscoring that the integration benefits identified across the academic literature are already being realized in real-world deployments.</w:t>
      </w:r>
    </w:p>
    <w:p w14:paraId="78101DFA" w14:textId="77777777" w:rsidR="00C72DDA" w:rsidRPr="001C3264" w:rsidRDefault="00C72DDA" w:rsidP="00C72DDA">
      <w:pPr>
        <w:ind w:firstLine="630"/>
        <w:jc w:val="both"/>
        <w:rPr>
          <w:rFonts w:ascii="Cambria" w:hAnsi="Cambria"/>
        </w:rPr>
      </w:pPr>
      <w:r>
        <w:rPr>
          <w:rFonts w:ascii="Cambria" w:hAnsi="Cambria"/>
        </w:rPr>
        <w:t>An important emerging frontier identified across the most recent studies (2025-2026) concerns explainability, federated learning, and probabilistic uncertainty quantification. Lee et al. (2025) argue that bridging the AI and energy research communities requires greater attention to the interpretability of AI-generated recommendations, particularly in materials development and fault diagnosis, where practitioners require physically grounded explanations rather than opaque statistical outputs. Ferrara et al. (2021), in an earlier but methodologically foundational study, demonstrate that deep residual learning can be used for design optimization of renewable energy systems in near-zero-energy buildings while retaining traceability to underlying physical design parameters, illustrating an early pathway toward physics-informed AI. More recently, Ochoa-Barragán et al. (2026) and Khan et al. (2026) both identify federated learning as a promising architecture for enabling collaborative model training across geographically distributed renewable assets without centralizing sensitive operational data, addressing data-privacy and cybersecurity concerns that become increasingly salient as AI systems are integrated into critical energy infrastructure.</w:t>
      </w:r>
    </w:p>
    <w:p w14:paraId="1D5AE679" w14:textId="77777777" w:rsidR="00C72DDA" w:rsidRPr="001C3264" w:rsidRDefault="00C72DDA" w:rsidP="00C72DDA">
      <w:pPr>
        <w:ind w:firstLine="630"/>
        <w:jc w:val="both"/>
        <w:rPr>
          <w:rFonts w:ascii="Cambria" w:hAnsi="Cambria"/>
        </w:rPr>
      </w:pPr>
      <w:r>
        <w:rPr>
          <w:rFonts w:ascii="Cambria" w:hAnsi="Cambria"/>
        </w:rPr>
        <w:t>A further consideration relevant to system integration is techno-economic viability at scale. Several of the most recent studies included in this review report concrete operational benefits attributable to AI deployment: predictive maintenance interventions reduce operating costs by approximately thirty percent while improving efficiency by fifteen to twenty percent, and automation of inspection and monitoring processes has been shown to reduce inspection time by up to ninety percent, indirectly extending average system lifespan by around twenty-five percent (Dawodu et al., 2024; Apata et al., 2026). At the same time, these techno-economic gains must be weighed against the non-negligible computational and energy costs associated with training and operating AI models, particularly deep learning architectures that require substantial data volume and retraining frequency; the net benefit of AI integration should therefore be evaluated as a genuine trade-off between operational energy savings and the energy consumed by the AI infrastructure itself, a consideration that remains inconsistently addressed across the reviewed literature (Ochoa-Barragán et al., 2026).</w:t>
      </w:r>
    </w:p>
    <w:p w14:paraId="3EB321ED" w14:textId="4348841A" w:rsidR="001901FE" w:rsidRDefault="00C72DDA" w:rsidP="00C72DDA">
      <w:pPr>
        <w:ind w:firstLine="630"/>
        <w:jc w:val="both"/>
        <w:rPr>
          <w:rFonts w:ascii="Cambria" w:eastAsia="Calibri" w:hAnsi="Cambria" w:cs="Calibri"/>
          <w:sz w:val="22"/>
          <w:szCs w:val="22"/>
        </w:rPr>
      </w:pPr>
      <w:r>
        <w:rPr>
          <w:rFonts w:ascii="Cambria" w:hAnsi="Cambria"/>
        </w:rPr>
        <w:t>Taken together, the results across all four thematic clusters support the central argument advanced in Section 1.4: while individual AI techniques demonstrate strong and well-documented performance improvements in isolation, the greatest unrealized potential lies in their integration. Forecasting accuracy directly determines the quality of inputs available to optimization and control algorithms; control decisions influence the operational stress placed on physical assets and therefore the frequency of maintenance interventions; and maintenance-driven asset availability, in turn, constrains the achievable performance of forecasting and control systems operating on incomplete or degraded sensor networks. Addressing this interdependency through unified, system-aware AI architectures represents the most significant opportunity identified across the reviewed literature for advancing the next generation of intelligent renewable energy systems</w:t>
      </w:r>
      <w:r>
        <w:rPr>
          <w:rFonts w:ascii="Cambria" w:eastAsia="Calibri" w:hAnsi="Cambria" w:cs="Calibri"/>
          <w:sz w:val="22"/>
          <w:szCs w:val="22"/>
        </w:rPr>
        <w:t>.</w:t>
      </w:r>
    </w:p>
    <w:p w14:paraId="79295889" w14:textId="77777777" w:rsidR="00FB2489" w:rsidRPr="00FB2489" w:rsidRDefault="00FB2489" w:rsidP="00FB2489">
      <w:pPr>
        <w:ind w:firstLine="720"/>
        <w:jc w:val="both"/>
        <w:rPr>
          <w:rFonts w:ascii="Cambria" w:hAnsi="Cambria"/>
        </w:rPr>
      </w:pPr>
    </w:p>
    <w:p w14:paraId="79295890" w14:textId="265D5920" w:rsidR="001901FE" w:rsidRDefault="00000000">
      <w:pPr>
        <w:pBdr>
          <w:top w:val="nil"/>
          <w:left w:val="nil"/>
          <w:bottom w:val="nil"/>
          <w:right w:val="nil"/>
          <w:between w:val="nil"/>
        </w:pBdr>
        <w:jc w:val="both"/>
        <w:rPr>
          <w:rFonts w:ascii="Cambria" w:eastAsia="Cambria" w:hAnsi="Cambria" w:cs="Cambria"/>
          <w:b/>
          <w:bCs/>
        </w:rPr>
      </w:pPr>
      <w:r>
        <w:rPr>
          <w:rFonts w:ascii="Cambria" w:eastAsia="Cambria" w:hAnsi="Cambria" w:cs="Cambria"/>
          <w:b/>
          <w:bCs/>
        </w:rPr>
        <w:t>LIMITATIONS OF THE REVIEW</w:t>
      </w:r>
    </w:p>
    <w:p w14:paraId="79295891" w14:textId="265D5921" w:rsidR="00C72DDA" w:rsidRPr="00C72DDA" w:rsidRDefault="00C72DDA" w:rsidP="00C72DDA">
      <w:pPr>
        <w:pBdr>
          <w:top w:val="nil"/>
          <w:left w:val="nil"/>
          <w:bottom w:val="nil"/>
          <w:right w:val="nil"/>
          <w:between w:val="nil"/>
        </w:pBdr>
        <w:ind w:firstLine="567"/>
        <w:jc w:val="both"/>
        <w:rPr>
          <w:rFonts w:ascii="Cambria" w:eastAsia="Cambria" w:hAnsi="Cambria" w:cs="Cambria"/>
        </w:rPr>
      </w:pPr>
      <w:r>
        <w:rPr>
          <w:rFonts w:ascii="Cambria" w:eastAsia="Cambria" w:hAnsi="Cambria" w:cs="Cambria"/>
        </w:rPr>
        <w:t>This review is subject to several limitations that should be considered when interpreting its findings. First, the search was restricted to four databases (Scopus, ScienceDirect, IEEE Xplore, and Google Scholar); relevant work indexed exclusively in other databases may therefore have been missed. Second, because the reviewed primary studies employ heterogeneous datasets, baselines, and reporting conventions, as noted in Section 1.4, the reported performance ranges synthesized in Tables 1 and 2 are not always derived from directly comparable experimental conditions, and should be interpreted as indicative rather than strictly commensurable figures. Third, this review did not apply a formal, criterion-based quality or risk-of-bias assessment to the 25 included studies beyond the eligibility criteria described in Section 2; a structured quality-appraisal instrument would strengthen future syntheses in this domain. Finally, restricting the evidence base to studies published between 2021 and 2026 was a deliberate choice to capture the most recent methodological developments, but it also means that earlier foundational work on AI in renewable energy systems falls outside the scope of this synthesis.</w:t>
      </w:r>
    </w:p>
    <w:p w14:paraId="79295892" w14:textId="265D5922" w:rsidR="00C72DDA" w:rsidRDefault="00C72DDA" w:rsidP="00C72DDA">
      <w:pPr>
        <w:ind w:firstLine="720"/>
        <w:jc w:val="both"/>
        <w:rPr>
          <w:rFonts w:ascii="Cambria" w:hAnsi="Cambria"/>
        </w:rPr>
      </w:pPr>
    </w:p>
    <w:p w14:paraId="42367EFF" w14:textId="265D591F" w:rsidR="001901FE" w:rsidRDefault="00000000">
      <w:pPr>
        <w:pBdr>
          <w:top w:val="nil"/>
          <w:left w:val="nil"/>
          <w:bottom w:val="nil"/>
          <w:right w:val="nil"/>
          <w:between w:val="nil"/>
        </w:pBdr>
        <w:jc w:val="both"/>
        <w:rPr>
          <w:rFonts w:ascii="Cambria" w:eastAsia="Cambria" w:hAnsi="Cambria" w:cs="Cambria"/>
          <w:b/>
          <w:bCs/>
        </w:rPr>
      </w:pPr>
      <w:r>
        <w:rPr>
          <w:rFonts w:ascii="Cambria" w:eastAsia="Cambria" w:hAnsi="Cambria" w:cs="Cambria"/>
          <w:b/>
          <w:bCs/>
        </w:rPr>
        <w:t>CONCLUSION</w:t>
      </w:r>
    </w:p>
    <w:p w14:paraId="2A1528BD" w14:textId="77777777" w:rsidR="00C72DDA" w:rsidRPr="00C72DDA" w:rsidRDefault="00C72DDA" w:rsidP="00C72DDA">
      <w:pPr>
        <w:pBdr>
          <w:top w:val="nil"/>
          <w:left w:val="nil"/>
          <w:bottom w:val="nil"/>
          <w:right w:val="nil"/>
          <w:between w:val="nil"/>
        </w:pBdr>
        <w:ind w:firstLine="567"/>
        <w:jc w:val="both"/>
        <w:rPr>
          <w:rFonts w:ascii="Cambria" w:eastAsia="Cambria" w:hAnsi="Cambria" w:cs="Cambria"/>
        </w:rPr>
      </w:pPr>
      <w:r>
        <w:rPr>
          <w:rFonts w:ascii="Cambria" w:eastAsia="Cambria" w:hAnsi="Cambria" w:cs="Cambria"/>
        </w:rPr>
        <w:t>This review has synthesized evidence from twenty-five recent peer-reviewed studies to examine how artificial intelligence is reshaping the optimization of renewable energy systems across four interconnected functional domains: forecasting and prediction, optimization and control, predictive maintenance, and system-level integration. The evidence consistently demonstrates that deep learning architectures, reinforcement learning, ensemble methods, and metaheuristic optimization algorithms deliver measurable improvements over classical approaches, including reductions in forecasting error, operational cost, unplanned downtime, and inspection time, alongside gains in energy dispatch efficiency and hybrid-system cost-effectiveness.</w:t>
      </w:r>
    </w:p>
    <w:p w14:paraId="0D20049D" w14:textId="5690F364" w:rsidR="001901FE" w:rsidRDefault="00C72DDA" w:rsidP="00C72DDA">
      <w:pPr>
        <w:pBdr>
          <w:top w:val="nil"/>
          <w:left w:val="nil"/>
          <w:bottom w:val="nil"/>
          <w:right w:val="nil"/>
          <w:between w:val="nil"/>
        </w:pBdr>
        <w:ind w:firstLine="567"/>
        <w:jc w:val="both"/>
        <w:rPr>
          <w:rFonts w:ascii="Cambria" w:eastAsia="Cambria" w:hAnsi="Cambria" w:cs="Cambria"/>
          <w:i/>
          <w:iCs/>
          <w:color w:val="FF0000"/>
        </w:rPr>
      </w:pPr>
      <w:r>
        <w:rPr>
          <w:rFonts w:ascii="Cambria" w:eastAsia="Cambria" w:hAnsi="Cambria" w:cs="Cambria"/>
        </w:rPr>
        <w:t>At the same time, the review identifies a persistent gap between component-level innovation and system-level integration. Most existing studies continue to address forecasting, control, and maintenance as separate research problems rather than as interdependent layers of a single operational system. Addressing this gap by developing unified, explainable, and computationally efficient AI frameworks capable of propagating forecast uncertainty into control decisions and linking maintenance-driven asset availability back into optimization models represents the most promising direction for future research. Priority areas identified across the literature include the development of standardized, open-access datasets to improve model comparability; lightweight and energy-efficient AI architectures suitable for edge deployment; physics-informed and hybrid modeling approaches that combine data-driven learning with domain knowledge; and federated learning architectures that enable collaborative model training while preserving data privacy across distributed renewable energy assets. Pursuing these directions will be essential to translating the substantial technical gains documented in this review into scalable, reliable, and economically viable renewable energy systems capable of supporting the ongoing global energy transition.</w:t>
      </w:r>
    </w:p>
    <w:p w14:paraId="205DA898" w14:textId="77777777" w:rsidR="001901FE" w:rsidRDefault="00000000">
      <w:pPr>
        <w:pBdr>
          <w:top w:val="nil"/>
          <w:left w:val="nil"/>
          <w:bottom w:val="nil"/>
          <w:right w:val="nil"/>
          <w:between w:val="nil"/>
        </w:pBdr>
        <w:spacing w:after="240"/>
        <w:ind w:firstLine="567"/>
        <w:jc w:val="both"/>
        <w:rPr>
          <w:rFonts w:ascii="Cambria" w:eastAsia="Cambria" w:hAnsi="Cambria" w:cs="Cambria"/>
        </w:rPr>
      </w:pPr>
      <w:r>
        <w:rPr>
          <w:rFonts w:ascii="Cambria" w:eastAsia="Cambria" w:hAnsi="Cambria" w:cs="Cambria"/>
          <w:b/>
          <w:bCs/>
        </w:rPr>
        <w:tab/>
      </w:r>
    </w:p>
    <w:p w14:paraId="4419937A" w14:textId="77777777" w:rsidR="001901FE" w:rsidRDefault="00000000">
      <w:pPr>
        <w:pBdr>
          <w:top w:val="nil"/>
          <w:left w:val="nil"/>
          <w:bottom w:val="nil"/>
          <w:right w:val="nil"/>
          <w:between w:val="nil"/>
        </w:pBdr>
        <w:jc w:val="both"/>
        <w:rPr>
          <w:rFonts w:ascii="Cambria" w:eastAsia="Cambria" w:hAnsi="Cambria" w:cs="Cambria"/>
          <w:b/>
          <w:bCs/>
        </w:rPr>
      </w:pPr>
      <w:r>
        <w:rPr>
          <w:rFonts w:ascii="Cambria" w:eastAsia="Cambria" w:hAnsi="Cambria" w:cs="Cambria"/>
          <w:b/>
          <w:bCs/>
        </w:rPr>
        <w:t>REFERENCES</w:t>
      </w:r>
    </w:p>
    <w:p w14:paraId="525A6BD7"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Abdelsattar, M., Ismeil, M., Menoufi, K., Abdelmoety, A., &amp; Emad-Eldeen, A. (2025). Evaluating machine learning and deep learning models for predicting wind turbine power output from environmental factors. PLOS ONE, 20. https://doi.org/10.1371/journal.pone.0317619</w:t>
      </w:r>
    </w:p>
    <w:p w14:paraId="71E7F669"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Abualigah, L., Zitar, R., Almotairi, K., Hussein, A. M. A., Elaziz, M. A., Nikoo, M., &amp; Gandomi, A. (2022). Wind, solar, and photovoltaic renewable energy systems with and without energy storage optimization: A survey of advanced machine learning and deep learning techniques. Energies, 15(2), 578. https://doi.org/10.3390/en15020578</w:t>
      </w:r>
    </w:p>
    <w:p w14:paraId="6AE51C25"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Ahmed, I., Khan, M. A. U. H., Islam, M. Z., Hasan, M. S., Jakir, T., Hossain, A., Abed, J., Hasanuzzaman, M., Shatyi, S. S., &amp; Hasnain, K. N. (2025). Optimizing solar energy production in the USA: Time-series analysis using AI for smart energy management. Journal of Posthumanism, 5(6), 3396-3423. https://doi.org/10.63332/joph.v5i6.2457</w:t>
      </w:r>
    </w:p>
    <w:p w14:paraId="727596F9"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Alcañiz, A., Grzebyk, D., Ziar, H., &amp; Isabella, O. (2023). Trends and gaps in photovoltaic power forecasting with machine learning. Energy Reports, 9, 447-471. https://doi.org/10.1016/j.egyr.2022.11.208</w:t>
      </w:r>
    </w:p>
    <w:p w14:paraId="242DBF14"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Alghamdi, A. A., Ibrahim, A., El-Kenawy, E. S. M., &amp; Abdelhamid, A. A. (2023). Renewable energy forecasting based on stacking ensemble model and Al-Biruni earth radius optimization algorithm. Energies, 16(3), 1370. https://doi.org/10.3390/en16031370</w:t>
      </w:r>
    </w:p>
    <w:p w14:paraId="0A08160B"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Apata, O., Munda, J. L., &amp; Migabo, E. M. (2026). Artificial intelligence for predictive maintenance and performance optimization in renewable energy systems: A comprehensive review. Energies, 19(2), 536. https://doi.org/10.3390/en19020536</w:t>
      </w:r>
    </w:p>
    <w:p w14:paraId="73426B2D"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Dawodu, S. O., Onwusinkwue, S., Osasona, F., Ahmad, I. A. I., Ahmad, I., Anyanwu, A. C., Obi, O. C., &amp; Hamdan, A. (2024). Artificial intelligence (AI) in renewable energy: A review of predictive maintenance and energy optimization. World Journal of Advanced Research and Reviews, 21(1), 2487-2499. https://doi.org/10.30574/wjarr.2024.21.1.0347</w:t>
      </w:r>
    </w:p>
    <w:p w14:paraId="56168C9D"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Ejiyi, C., Cai, D., Thomas, D., Obiora, S. C., Osei-Mensah, E., Acen, C., Eze, F., Sam, F., Zhang, Q., &amp; Bamisile, O. (2025). Comprehensive review of artificial intelligence applications in renewable energy systems: Current implementations and emerging trends. Journal of Big Data, 12. https://doi.org/10.1186/s40537-025-01178-7</w:t>
      </w:r>
    </w:p>
    <w:p w14:paraId="3A1D5933"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Enoch, O. I., Salawu, E. Y., Akerekan, O. E., Olaoluwa, O. O., Babafemi, O., Awoyemi, O. O., &amp; Airewa, I. (2025). Leveraging artificial intelligence for optimizing renewable energy systems. NIPES Journal of Science and Technology Research, 7(1), 1543-1549. https://doi.org/10.37933/nipes/7.4.2025.si180</w:t>
      </w:r>
    </w:p>
    <w:p w14:paraId="12F3BE2A"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Fan, Z., Yan, Z., &amp; Wen, S. (2023). Deep learning and artificial intelligence in sustainability: A review of SDGs, renewable energy, and environmental health. Sustainability, 15(18), 13493. https://doi.org/10.3390/su151813493</w:t>
      </w:r>
    </w:p>
    <w:p w14:paraId="2BD3136C"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Ferrara, M., Santa, F., Bilardo, M., Gregorio, A., Mastropietro, A., Fugacci, U., Vaccarino, F., &amp; Fabrizio, E. (2021). Design optimization of renewable energy systems for NZEBs based on deep residual learning. Renewable Energy, 176, 590-605. https://doi.org/10.1016/j.renene.2021.05.044</w:t>
      </w:r>
    </w:p>
    <w:p w14:paraId="5B9CD89F"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Khan, S., Mim, J. J., Shorna, J. F., Hasan, M. A., Tarek, H. R., Islam, M., &amp; Hossain, N. (2026). Machine learning for renewable energy advancements: Prospects and emerging techniques. Energy Reports. https://doi.org/10.1016/j.egyr.2025.109008</w:t>
      </w:r>
    </w:p>
    <w:p w14:paraId="2B2F230E"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Lee, S.-W., Lee, S., Lee, S., Hwang, J.-S., Oh, W., Winther, K., Lee, D. U., Kim, D., Nielander, A. C., Jaramillo, T. F., Kang, Y., &amp; Lee, H.-S. (2025). Bridging artificial intelligence with photovoltaics. Cell Reports Physical Science, 6(11), 102893. https://doi.org/10.1016/j.xcrp.2025.102893</w:t>
      </w:r>
    </w:p>
    <w:p w14:paraId="4A609B04"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Ochoa-Barragán, R., Saavedra-Sánchez, L. D., Nápoles-Rivera, F., Ramírez-Márquez, C., Lira-Barragán, L. F., &amp; Ponce-Ortega, J. M. (2026). Artificial intelligence enabling intelligent solar energy systems: Integration and emerging directions. Processes, 14(7), 1167. https://doi.org/10.3390/pr14071167</w:t>
      </w:r>
    </w:p>
    <w:p w14:paraId="7727B481"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Rahayu, S., Septiani, N., Ikhsan, R. Z., Kareem, Y. M., &amp; Rahardja, U. (2025). Revolutionizing renewable energy systems through advanced machine learning integration approaches. Journal of Computer Science and Technology Application, 2(2), 23-34. https://doi.org/10.33050/corisinta.v2i2.115</w:t>
      </w:r>
    </w:p>
    <w:p w14:paraId="4944A0B7"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Shehab, M., Edinat, A., Ghamri, M. A., Gomaa, M., Al-Haj, F., Kamal, I., &amp; Fakhry, A. (2026). Machine learning-based optimization for renewable energy systems: A comprehensive review. Algorithms, 19. https://doi.org/10.3390/a19050405</w:t>
      </w:r>
    </w:p>
    <w:p w14:paraId="68D65D07"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Shen, R., Zhong, S., Wen, X., An, Q., Zheng, R., Li, Y., &amp; Zhao, J. (2022). Multi-agent deep reinforcement learning optimization framework for building energy system with renewable energy. Applied Energy. https://doi.org/10.1016/j.apenergy.2022.118724</w:t>
      </w:r>
    </w:p>
    <w:p w14:paraId="02BBB980"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Shoaei, M., Noorollahi, Y., Hajinezhad, A., &amp; Moosavian, S. (2024). A review of the applications of artificial intelligence in renewable energy systems: An approach-based study. Energy Conversion and Management. https://doi.org/10.1016/j.enconman.2024.118207</w:t>
      </w:r>
    </w:p>
    <w:p w14:paraId="76C822D0"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Singh, A., Sujatha, M., Kadu, A., Bajaj, M., Addis, H., &amp; Sarada, K. (2025). A deep learning and IoT-driven framework for real-time adaptive resource allocation and grid optimization in smart energy systems. Scientific Reports, 15. https://doi.org/10.1038/s41598-025-02649-w</w:t>
      </w:r>
    </w:p>
    <w:p w14:paraId="76EC720F"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Smart, E. E., Olanrewaju, L. O., Usman, J., Otaru, K., Muhammad, D., Amalu, P. N., &amp; Popoola, E. (2025). Artificial intelligence (AI) in renewable energy forecasting and optimization. World Journal of Advanced Engineering Technology and Sciences. https://doi.org/10.30574/wjaets.2025.15.2.0300</w:t>
      </w:r>
    </w:p>
    <w:p w14:paraId="67E09AF7"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Suci, A. M., Amini, R., Asri, A. K., &amp; Martin, N. (2025). Artificial intelligence in renewable energy: A review of predictive maintenance and energy optimization. Journal of Clean Technology. https://doi.org/10.15294/joct.v2i1.27729</w:t>
      </w:r>
    </w:p>
    <w:p w14:paraId="2EA5D6C4"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Thirunavukkarasu, M., Sawle, Y., &amp; Lala, H. (2023). A comprehensive review on optimization of hybrid renewable energy systems using various optimization techniques. Renewable and Sustainable Energy Reviews. https://doi.org/10.1016/j.rser.2023.113192</w:t>
      </w:r>
    </w:p>
    <w:p w14:paraId="2B2CD94C"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Ukoba, K., Olatunji, K. O., Adeoye, E., Jen, T., &amp; Madyira, D. (2024). Optimizing renewable energy systems through artificial intelligence: Review and future prospects. Energy &amp; Environment, 35(8), 3833-3879. https://doi.org/10.1177/0958305X241256293</w:t>
      </w:r>
    </w:p>
    <w:p w14:paraId="72990602" w14:textId="77777777" w:rsidR="00C72DDA" w:rsidRPr="00C72DDA"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Wada, I., Bello, S. F., Ige, O., Chianumba, E., &amp; Adebayo, S. A. (2024). AI-driven predictive maintenance and optimization of renewable energy systems for enhanced operational efficiency and longevity. International Journal of Science and Research Archive. https://doi.org/10.30574/ijsra.2024.13.1.1992</w:t>
      </w:r>
    </w:p>
    <w:p w14:paraId="7524AFA7" w14:textId="73886CEA" w:rsidR="001901FE" w:rsidRDefault="00C72DDA" w:rsidP="00C72DDA">
      <w:pPr>
        <w:pBdr>
          <w:top w:val="nil"/>
          <w:left w:val="nil"/>
          <w:bottom w:val="nil"/>
          <w:right w:val="nil"/>
          <w:between w:val="nil"/>
        </w:pBdr>
        <w:ind w:left="567" w:hanging="567"/>
        <w:jc w:val="both"/>
        <w:rPr>
          <w:rFonts w:ascii="Cambria" w:eastAsia="Cambria" w:hAnsi="Cambria" w:cs="Cambria"/>
        </w:rPr>
      </w:pPr>
      <w:r>
        <w:rPr>
          <w:rFonts w:ascii="Cambria" w:eastAsia="Cambria" w:hAnsi="Cambria" w:cs="Cambria"/>
        </w:rPr>
        <w:t>Yi, Z., Luo, Y., Westover, T., Katikaneni, S., Ponkiya, B., Sah, S., Mahmud, S., Raker, D., Javaid, A., Heben, M., &amp; Khanna, R. (2022). Deep reinforcement learning based optimization for a tightly coupled nuclear renewable integrated energy system. Applied Energy. https://doi.org/10.1016/j.apenergy.2022.120113.</w:t>
      </w:r>
    </w:p>
    <w:p w14:paraId="1B737FB9" w14:textId="77777777" w:rsidR="001901FE" w:rsidRDefault="00000000">
      <w:pPr>
        <w:pBdr>
          <w:top w:val="nil"/>
          <w:left w:val="nil"/>
          <w:bottom w:val="nil"/>
          <w:right w:val="nil"/>
          <w:between w:val="nil"/>
        </w:pBdr>
        <w:jc w:val="both"/>
        <w:rPr>
          <w:rFonts w:ascii="Cambria" w:eastAsia="Cambria" w:hAnsi="Cambria" w:cs="Cambria"/>
        </w:rPr>
      </w:pPr>
      <w:r>
        <w:rPr>
          <w:rFonts w:ascii="Cambria" w:eastAsia="Cambria" w:hAnsi="Cambria" w:cs="Cambria"/>
        </w:rPr>
        <w:t xml:space="preserve"> </w:t>
      </w:r>
    </w:p>
    <w:sectPr w:rsidR="001901FE">
      <w:headerReference w:type="even" r:id="rId11"/>
      <w:headerReference w:type="default" r:id="rId12"/>
      <w:footerReference w:type="even" r:id="rId13"/>
      <w:footerReference w:type="default" r:id="rId14"/>
      <w:headerReference w:type="first" r:id="rId15"/>
      <w:footerReference w:type="first" r:id="rId16"/>
      <w:pgSz w:w="11906" w:h="16838"/>
      <w:pgMar w:top="1296" w:right="734" w:bottom="1008" w:left="734" w:header="562"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D9B3A" w14:textId="77777777" w:rsidR="009D44D5" w:rsidRDefault="009D44D5">
      <w:r>
        <w:separator/>
      </w:r>
    </w:p>
  </w:endnote>
  <w:endnote w:type="continuationSeparator" w:id="0">
    <w:p w14:paraId="4A420030" w14:textId="77777777" w:rsidR="009D44D5" w:rsidRDefault="009D4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5D282DB-8737-4D7A-AB35-C776FC8CAA8A}"/>
  </w:font>
  <w:font w:name="Helvetica Neue">
    <w:altName w:val="Arial"/>
    <w:charset w:val="00"/>
    <w:family w:val="auto"/>
    <w:pitch w:val="default"/>
    <w:embedBold r:id="rId2" w:fontKey="{237AAE21-2748-4C5C-97DF-0C1C43B30DDD}"/>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467DA2EE-9E92-480D-B3E9-0171D47DD237}"/>
    <w:embedBoldItalic r:id="rId4" w:fontKey="{6485A794-1F13-4A5C-9C2F-A2A2A3A3ADD0}"/>
  </w:font>
  <w:font w:name="Candara">
    <w:panose1 w:val="020E0502030303020204"/>
    <w:charset w:val="00"/>
    <w:family w:val="swiss"/>
    <w:pitch w:val="variable"/>
    <w:sig w:usb0="A00002EF" w:usb1="4000A44B" w:usb2="00000000" w:usb3="00000000" w:csb0="0000019F" w:csb1="00000000"/>
    <w:embedRegular r:id="rId5" w:fontKey="{8D506527-2F19-477A-8A67-B2673714D3B9}"/>
    <w:embedBold r:id="rId6" w:fontKey="{2A369DFD-1B98-4869-9BB3-F138963AAE3C}"/>
  </w:font>
  <w:font w:name="Franklin Gothic Medium Cond">
    <w:panose1 w:val="020B0606030402020204"/>
    <w:charset w:val="00"/>
    <w:family w:val="swiss"/>
    <w:pitch w:val="variable"/>
    <w:sig w:usb0="00000287" w:usb1="00000000" w:usb2="00000000" w:usb3="00000000" w:csb0="0000009F" w:csb1="00000000"/>
    <w:embedRegular r:id="rId7" w:fontKey="{3028429B-D098-49C7-A270-EDFBFB337002}"/>
  </w:font>
  <w:font w:name="TimesNewRomanPSM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8" w:fontKey="{C7C68E19-2C9B-426D-873E-9F978B0BD0CE}"/>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Italic r:id="rId9" w:fontKey="{9FB68C52-EA72-4215-B4C5-6E94775203EE}"/>
  </w:font>
  <w:font w:name="Cambria">
    <w:panose1 w:val="02040503050406030204"/>
    <w:charset w:val="00"/>
    <w:family w:val="roman"/>
    <w:pitch w:val="variable"/>
    <w:sig w:usb0="E00006FF" w:usb1="420024FF" w:usb2="02000000" w:usb3="00000000" w:csb0="0000019F" w:csb1="00000000"/>
    <w:embedRegular r:id="rId10" w:fontKey="{B4EB2E82-49EE-4A38-91E9-F673633A1D9D}"/>
    <w:embedBold r:id="rId11" w:fontKey="{56C0F5CB-2AB8-4324-A5B0-D5C7FDA1F5AE}"/>
    <w:embedItalic r:id="rId12" w:fontKey="{0292ED34-D6AD-4CB3-91AF-3EF625EAA182}"/>
    <w:embedBoldItalic r:id="rId13" w:fontKey="{2B0E8F09-66AD-420C-876C-425C3FB09C94}"/>
  </w:font>
  <w:font w:name="Libre Franklin Medium">
    <w:charset w:val="00"/>
    <w:family w:val="auto"/>
    <w:pitch w:val="variable"/>
    <w:sig w:usb0="A00000FF" w:usb1="4000205B" w:usb2="00000000" w:usb3="00000000" w:csb0="00000193" w:csb1="00000000"/>
    <w:embedRegular r:id="rId14" w:fontKey="{951D812D-5162-4E6A-9206-8647EBDB446B}"/>
    <w:embedBold r:id="rId15" w:fontKey="{D3BA13CE-AEBC-43A7-9216-9B998FDAF0F5}"/>
  </w:font>
  <w:font w:name="Noto Serif">
    <w:charset w:val="00"/>
    <w:family w:val="roman"/>
    <w:pitch w:val="variable"/>
    <w:sig w:usb0="E00002FF" w:usb1="500078FF" w:usb2="00000029" w:usb3="00000000" w:csb0="0000019F" w:csb1="00000000"/>
    <w:embedRegular r:id="rId16" w:fontKey="{F7A2162B-DA73-49A9-B416-FB7A7623D923}"/>
  </w:font>
  <w:font w:name="Book Antiqua">
    <w:panose1 w:val="02040602050305030304"/>
    <w:charset w:val="00"/>
    <w:family w:val="roman"/>
    <w:pitch w:val="variable"/>
    <w:sig w:usb0="00000287" w:usb1="00000000" w:usb2="00000000" w:usb3="00000000" w:csb0="0000009F" w:csb1="00000000"/>
    <w:embedRegular r:id="rId17" w:fontKey="{97064748-97CE-4480-BDE6-5E2EEF0862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F6B2" w14:textId="77777777" w:rsidR="001901FE" w:rsidRDefault="00000000">
    <w:pPr>
      <w:pBdr>
        <w:top w:val="nil"/>
        <w:left w:val="nil"/>
        <w:bottom w:val="nil"/>
        <w:right w:val="nil"/>
        <w:between w:val="nil"/>
      </w:pBdr>
      <w:tabs>
        <w:tab w:val="center" w:pos="4680"/>
        <w:tab w:val="right" w:pos="9360"/>
      </w:tabs>
      <w:ind w:firstLine="851"/>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83DD2AC" w14:textId="77777777" w:rsidR="001901FE" w:rsidRDefault="001901FE">
    <w:pPr>
      <w:pBdr>
        <w:top w:val="nil"/>
        <w:left w:val="nil"/>
        <w:bottom w:val="nil"/>
        <w:right w:val="nil"/>
        <w:between w:val="nil"/>
      </w:pBdr>
      <w:tabs>
        <w:tab w:val="center" w:pos="4680"/>
        <w:tab w:val="right" w:pos="9360"/>
      </w:tabs>
      <w:ind w:right="360"/>
      <w:jc w:val="both"/>
      <w:rPr>
        <w:rFonts w:ascii="Candara" w:eastAsia="Candara" w:hAnsi="Candara" w:cs="Candara"/>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8C12F" w14:textId="77777777" w:rsidR="001901FE" w:rsidRDefault="00000000">
    <w:pPr>
      <w:pBdr>
        <w:top w:val="nil"/>
        <w:left w:val="nil"/>
        <w:bottom w:val="nil"/>
        <w:right w:val="nil"/>
        <w:between w:val="nil"/>
      </w:pBdr>
      <w:tabs>
        <w:tab w:val="center" w:pos="4680"/>
        <w:tab w:val="right" w:pos="9360"/>
      </w:tabs>
      <w:ind w:firstLine="851"/>
      <w:jc w:val="right"/>
      <w:rPr>
        <w:color w:val="000000"/>
      </w:rPr>
    </w:pPr>
    <w:r>
      <w:rPr>
        <w:color w:val="000000"/>
      </w:rPr>
      <w:fldChar w:fldCharType="begin"/>
    </w:r>
    <w:r>
      <w:rPr>
        <w:color w:val="000000"/>
      </w:rPr>
      <w:instrText>PAGE</w:instrText>
    </w:r>
    <w:r>
      <w:rPr>
        <w:color w:val="000000"/>
      </w:rPr>
      <w:fldChar w:fldCharType="separate"/>
    </w:r>
    <w:r w:rsidR="00FB2489">
      <w:rPr>
        <w:noProof/>
        <w:color w:val="000000"/>
      </w:rPr>
      <w:t>2</w:t>
    </w:r>
    <w:r>
      <w:rPr>
        <w:color w:val="000000"/>
      </w:rPr>
      <w:fldChar w:fldCharType="end"/>
    </w:r>
  </w:p>
  <w:p w14:paraId="7B47E9DC" w14:textId="77777777" w:rsidR="001901FE" w:rsidRDefault="001901FE">
    <w:pPr>
      <w:pBdr>
        <w:top w:val="nil"/>
        <w:left w:val="nil"/>
        <w:bottom w:val="nil"/>
        <w:right w:val="nil"/>
        <w:between w:val="nil"/>
      </w:pBdr>
      <w:tabs>
        <w:tab w:val="center" w:pos="4680"/>
        <w:tab w:val="right" w:pos="9360"/>
      </w:tabs>
      <w:jc w:val="both"/>
      <w:rPr>
        <w:rFonts w:ascii="Libre Franklin Medium" w:eastAsia="Libre Franklin Medium" w:hAnsi="Libre Franklin Medium" w:cs="Libre Franklin Medium"/>
        <w:b/>
        <w:bCs/>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51CA8" w14:textId="77777777" w:rsidR="001901FE" w:rsidRDefault="00000000">
    <w:pPr>
      <w:pBdr>
        <w:top w:val="single" w:sz="4" w:space="1" w:color="D9D9D9"/>
        <w:left w:val="nil"/>
        <w:bottom w:val="nil"/>
        <w:right w:val="nil"/>
        <w:between w:val="nil"/>
      </w:pBdr>
      <w:tabs>
        <w:tab w:val="center" w:pos="4513"/>
        <w:tab w:val="right" w:pos="9026"/>
      </w:tabs>
      <w:rPr>
        <w:rFonts w:ascii="Book Antiqua" w:eastAsia="Book Antiqua" w:hAnsi="Book Antiqua" w:cs="Book Antiqua"/>
        <w:sz w:val="12"/>
        <w:szCs w:val="12"/>
      </w:rPr>
    </w:pPr>
    <w:r>
      <w:rPr>
        <w:rFonts w:ascii="Book Antiqua" w:eastAsia="Book Antiqua" w:hAnsi="Book Antiqua" w:cs="Book Antiqua"/>
        <w:noProof/>
        <w:sz w:val="12"/>
        <w:szCs w:val="12"/>
      </w:rPr>
      <w:drawing>
        <wp:inline distT="114300" distB="114300" distL="114300" distR="114300" wp14:anchorId="13E3DEF4" wp14:editId="27ECEB2B">
          <wp:extent cx="904250" cy="310836"/>
          <wp:effectExtent l="0" t="0" r="0" b="0"/>
          <wp:docPr id="10121084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04250" cy="310836"/>
                  </a:xfrm>
                  <a:prstGeom prst="rect">
                    <a:avLst/>
                  </a:prstGeom>
                  <a:ln/>
                </pic:spPr>
              </pic:pic>
            </a:graphicData>
          </a:graphic>
        </wp:inline>
      </w:drawing>
    </w:r>
  </w:p>
  <w:p w14:paraId="2E292B61" w14:textId="77777777" w:rsidR="001901FE" w:rsidRDefault="00000000">
    <w:pPr>
      <w:pBdr>
        <w:top w:val="single" w:sz="4" w:space="1" w:color="D9D9D9"/>
        <w:left w:val="nil"/>
        <w:bottom w:val="nil"/>
        <w:right w:val="nil"/>
        <w:between w:val="nil"/>
      </w:pBdr>
      <w:tabs>
        <w:tab w:val="center" w:pos="4513"/>
        <w:tab w:val="right" w:pos="9026"/>
      </w:tabs>
      <w:rPr>
        <w:rFonts w:ascii="Book Antiqua" w:eastAsia="Book Antiqua" w:hAnsi="Book Antiqua" w:cs="Book Antiqua"/>
        <w:sz w:val="12"/>
        <w:szCs w:val="12"/>
      </w:rPr>
    </w:pPr>
    <w:r>
      <w:rPr>
        <w:rFonts w:ascii="Book Antiqua" w:eastAsia="Book Antiqua" w:hAnsi="Book Antiqua" w:cs="Book Antiqua"/>
        <w:sz w:val="12"/>
        <w:szCs w:val="12"/>
      </w:rPr>
      <w:t xml:space="preserve">Creative </w:t>
    </w:r>
    <w:r>
      <w:rPr>
        <w:rFonts w:ascii="Book Antiqua" w:eastAsia="Book Antiqua" w:hAnsi="Book Antiqua" w:cs="Book Antiqua"/>
        <w:sz w:val="12"/>
        <w:szCs w:val="12"/>
      </w:rPr>
      <w:t>Commons Attribution-ShareAlike 4.0 International License:</w:t>
    </w:r>
  </w:p>
  <w:p w14:paraId="7C71F39D" w14:textId="77777777" w:rsidR="001901FE" w:rsidRDefault="001901FE">
    <w:pPr>
      <w:pBdr>
        <w:top w:val="single" w:sz="4" w:space="1" w:color="D9D9D9"/>
        <w:left w:val="nil"/>
        <w:bottom w:val="nil"/>
        <w:right w:val="nil"/>
        <w:between w:val="nil"/>
      </w:pBdr>
      <w:tabs>
        <w:tab w:val="center" w:pos="4513"/>
        <w:tab w:val="right" w:pos="9026"/>
      </w:tabs>
      <w:rPr>
        <w:rFonts w:ascii="Book Antiqua" w:eastAsia="Book Antiqua" w:hAnsi="Book Antiqua" w:cs="Book Antiqua"/>
        <w:color w:val="1155CC"/>
        <w:sz w:val="12"/>
        <w:szCs w:val="12"/>
        <w:u w:val="single"/>
      </w:rPr>
    </w:pPr>
    <w:hyperlink r:id="rId2">
      <w:r>
        <w:rPr>
          <w:rFonts w:ascii="Book Antiqua" w:eastAsia="Book Antiqua" w:hAnsi="Book Antiqua" w:cs="Book Antiqua"/>
          <w:color w:val="1155CC"/>
          <w:sz w:val="12"/>
          <w:szCs w:val="12"/>
          <w:u w:val="single"/>
        </w:rPr>
        <w:t>https://creativecommons.org/licenses/by-sa/4.0/</w:t>
      </w:r>
    </w:hyperlink>
  </w:p>
  <w:p w14:paraId="3A9BC3E6" w14:textId="77777777" w:rsidR="001901FE" w:rsidRDefault="00000000">
    <w:pPr>
      <w:pBdr>
        <w:top w:val="nil"/>
        <w:left w:val="nil"/>
        <w:bottom w:val="nil"/>
        <w:right w:val="nil"/>
        <w:between w:val="nil"/>
      </w:pBdr>
      <w:jc w:val="both"/>
      <w:rPr>
        <w:rFonts w:ascii="Cambria" w:eastAsia="Cambria" w:hAnsi="Cambria" w:cs="Cambria"/>
        <w:b/>
        <w:bCs/>
        <w:sz w:val="28"/>
        <w:szCs w:val="28"/>
      </w:rPr>
    </w:pPr>
    <w:r>
      <w:rPr>
        <w:rFonts w:ascii="Book Antiqua" w:eastAsia="Book Antiqua" w:hAnsi="Book Antiqua" w:cs="Book Antiqua"/>
        <w:color w:val="000000"/>
        <w:sz w:val="18"/>
        <w:szCs w:val="18"/>
      </w:rPr>
      <w:tab/>
    </w:r>
  </w:p>
  <w:p w14:paraId="04B71DC2" w14:textId="77777777" w:rsidR="001901FE" w:rsidRDefault="00000000">
    <w:pPr>
      <w:pBdr>
        <w:top w:val="nil"/>
        <w:left w:val="nil"/>
        <w:bottom w:val="nil"/>
        <w:right w:val="nil"/>
        <w:between w:val="nil"/>
      </w:pBdr>
      <w:tabs>
        <w:tab w:val="center" w:pos="4680"/>
        <w:tab w:val="right" w:pos="9360"/>
      </w:tabs>
      <w:ind w:firstLine="851"/>
      <w:jc w:val="right"/>
      <w:rPr>
        <w:color w:val="000000"/>
      </w:rPr>
    </w:pPr>
    <w:r>
      <w:rPr>
        <w:color w:val="000000"/>
      </w:rPr>
      <w:fldChar w:fldCharType="begin"/>
    </w:r>
    <w:r>
      <w:rPr>
        <w:color w:val="000000"/>
      </w:rPr>
      <w:instrText>PAGE</w:instrText>
    </w:r>
    <w:r>
      <w:rPr>
        <w:color w:val="000000"/>
      </w:rPr>
      <w:fldChar w:fldCharType="separate"/>
    </w:r>
    <w:r w:rsidR="00FB2489">
      <w:rPr>
        <w:noProof/>
        <w:color w:val="000000"/>
      </w:rPr>
      <w:t>1</w:t>
    </w:r>
    <w:r>
      <w:rPr>
        <w:color w:val="000000"/>
      </w:rPr>
      <w:fldChar w:fldCharType="end"/>
    </w:r>
  </w:p>
  <w:p w14:paraId="7FFD4EB9" w14:textId="77777777" w:rsidR="001901FE" w:rsidRDefault="001901FE">
    <w:pPr>
      <w:pBdr>
        <w:top w:val="nil"/>
        <w:left w:val="nil"/>
        <w:bottom w:val="nil"/>
        <w:right w:val="nil"/>
        <w:between w:val="nil"/>
      </w:pBdr>
      <w:tabs>
        <w:tab w:val="center" w:pos="4680"/>
        <w:tab w:val="right" w:pos="9360"/>
      </w:tabs>
      <w:ind w:firstLine="851"/>
      <w:jc w:val="both"/>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CE001" w14:textId="77777777" w:rsidR="009D44D5" w:rsidRDefault="009D44D5">
      <w:r>
        <w:separator/>
      </w:r>
    </w:p>
  </w:footnote>
  <w:footnote w:type="continuationSeparator" w:id="0">
    <w:p w14:paraId="61D4DB03" w14:textId="77777777" w:rsidR="009D44D5" w:rsidRDefault="009D4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F7171" w14:textId="77777777" w:rsidR="001901FE" w:rsidRDefault="001901FE">
    <w:pPr>
      <w:pBdr>
        <w:top w:val="nil"/>
        <w:left w:val="nil"/>
        <w:bottom w:val="nil"/>
        <w:right w:val="nil"/>
        <w:between w:val="nil"/>
      </w:pBdr>
      <w:tabs>
        <w:tab w:val="center" w:pos="4680"/>
        <w:tab w:val="right" w:pos="9360"/>
      </w:tabs>
      <w:jc w:val="both"/>
      <w:rPr>
        <w:rFonts w:ascii="Libre Franklin Medium" w:eastAsia="Libre Franklin Medium" w:hAnsi="Libre Franklin Medium" w:cs="Libre Franklin Medium"/>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BEEC" w14:textId="77777777" w:rsidR="001901FE" w:rsidRDefault="001901FE">
    <w:pPr>
      <w:pBdr>
        <w:top w:val="nil"/>
        <w:left w:val="nil"/>
        <w:bottom w:val="nil"/>
        <w:right w:val="nil"/>
        <w:between w:val="nil"/>
      </w:pBdr>
      <w:tabs>
        <w:tab w:val="center" w:pos="4680"/>
        <w:tab w:val="right" w:pos="9360"/>
      </w:tabs>
      <w:jc w:val="right"/>
      <w:rPr>
        <w:rFonts w:ascii="Libre Franklin Medium" w:eastAsia="Libre Franklin Medium" w:hAnsi="Libre Franklin Medium" w:cs="Libre Franklin Medium"/>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308C7" w14:textId="77777777" w:rsidR="001901FE" w:rsidRDefault="00000000">
    <w:pPr>
      <w:pBdr>
        <w:top w:val="nil"/>
        <w:left w:val="nil"/>
        <w:bottom w:val="nil"/>
        <w:right w:val="nil"/>
        <w:between w:val="nil"/>
      </w:pBdr>
      <w:tabs>
        <w:tab w:val="center" w:pos="4680"/>
        <w:tab w:val="right" w:pos="9360"/>
      </w:tabs>
      <w:jc w:val="both"/>
      <w:rPr>
        <w:color w:val="000000"/>
      </w:rPr>
    </w:pPr>
    <w:r>
      <w:rPr>
        <w:color w:val="000000"/>
      </w:rPr>
      <w:t>Journal of Renewable Engineering</w:t>
    </w:r>
    <w:r>
      <w:rPr>
        <w:color w:val="000000"/>
      </w:rPr>
      <w:tab/>
    </w:r>
    <w:r>
      <w:rPr>
        <w:color w:val="000000"/>
      </w:rPr>
      <w:tab/>
    </w:r>
  </w:p>
  <w:p w14:paraId="694463F3" w14:textId="77777777" w:rsidR="001901FE" w:rsidRDefault="00000000">
    <w:pPr>
      <w:pBdr>
        <w:top w:val="nil"/>
        <w:left w:val="nil"/>
        <w:bottom w:val="nil"/>
        <w:right w:val="nil"/>
        <w:between w:val="nil"/>
      </w:pBdr>
      <w:tabs>
        <w:tab w:val="center" w:pos="4680"/>
        <w:tab w:val="right" w:pos="9360"/>
      </w:tabs>
      <w:jc w:val="both"/>
      <w:rPr>
        <w:color w:val="000000"/>
      </w:rPr>
    </w:pPr>
    <w:r>
      <w:rPr>
        <w:color w:val="000000"/>
      </w:rPr>
      <w:t>E-ISSN:</w:t>
    </w:r>
    <w:r>
      <w:rPr>
        <w:rFonts w:ascii="Noto Serif" w:eastAsia="Noto Serif" w:hAnsi="Noto Serif" w:cs="Noto Serif"/>
        <w:color w:val="000000"/>
        <w:sz w:val="21"/>
        <w:szCs w:val="21"/>
        <w:highlight w:val="white"/>
      </w:rPr>
      <w:t>3046-7624</w:t>
    </w:r>
  </w:p>
  <w:p w14:paraId="7FBB612D" w14:textId="77777777" w:rsidR="001901FE" w:rsidRDefault="001901FE">
    <w:pPr>
      <w:pBdr>
        <w:top w:val="nil"/>
        <w:left w:val="nil"/>
        <w:bottom w:val="nil"/>
        <w:right w:val="nil"/>
        <w:between w:val="nil"/>
      </w:pBdr>
      <w:tabs>
        <w:tab w:val="center" w:pos="4680"/>
        <w:tab w:val="right" w:pos="9360"/>
      </w:tabs>
      <w:jc w:val="both"/>
      <w:rPr>
        <w:color w:val="000000"/>
      </w:rPr>
    </w:pPr>
    <w:hyperlink r:id="rId1">
      <w:r>
        <w:rPr>
          <w:color w:val="1155CC"/>
          <w:u w:val="single"/>
        </w:rPr>
        <w:t>https://ejournal-nawalaedu.com/index.php/jore</w:t>
      </w:r>
    </w:hyperlink>
    <w:r>
      <w:t xml:space="preserve"> </w:t>
    </w:r>
  </w:p>
  <w:p w14:paraId="528BFDDF" w14:textId="3CEA7C3E" w:rsidR="001901FE" w:rsidRDefault="00000000">
    <w:pPr>
      <w:pBdr>
        <w:top w:val="nil"/>
        <w:left w:val="nil"/>
        <w:bottom w:val="single" w:sz="6" w:space="1" w:color="000000"/>
        <w:right w:val="nil"/>
        <w:between w:val="nil"/>
      </w:pBdr>
      <w:tabs>
        <w:tab w:val="center" w:pos="4680"/>
        <w:tab w:val="right" w:pos="9360"/>
      </w:tabs>
      <w:jc w:val="both"/>
      <w:rPr>
        <w:color w:val="000000"/>
      </w:rPr>
    </w:pPr>
    <w:r>
      <w:rPr>
        <w:color w:val="000000"/>
      </w:rPr>
      <w:t>Vol.</w:t>
    </w:r>
    <w:r w:rsidR="000317A9">
      <w:rPr>
        <w:color w:val="000000"/>
      </w:rPr>
      <w:t>3</w:t>
    </w:r>
    <w:r>
      <w:rPr>
        <w:color w:val="000000"/>
      </w:rPr>
      <w:t>.No.</w:t>
    </w:r>
    <w:r w:rsidR="000317A9">
      <w:rPr>
        <w:color w:val="000000"/>
      </w:rPr>
      <w:t>4 August 2026</w:t>
    </w:r>
  </w:p>
  <w:p w14:paraId="5F973E09" w14:textId="6D357054" w:rsidR="001901FE" w:rsidRDefault="00000000">
    <w:pPr>
      <w:pBdr>
        <w:top w:val="nil"/>
        <w:left w:val="nil"/>
        <w:bottom w:val="single" w:sz="6" w:space="1" w:color="000000"/>
        <w:right w:val="nil"/>
        <w:between w:val="nil"/>
      </w:pBdr>
      <w:tabs>
        <w:tab w:val="center" w:pos="4680"/>
        <w:tab w:val="right" w:pos="9360"/>
      </w:tabs>
      <w:jc w:val="both"/>
    </w:pPr>
    <w:r>
      <w:t>DOI :</w:t>
    </w:r>
    <w:r w:rsidR="000317A9">
      <w:t xml:space="preserve"> </w:t>
    </w:r>
    <w:hyperlink r:id="rId2" w:history="1">
      <w:r w:rsidR="000317A9" w:rsidRPr="00752C5D">
        <w:rPr>
          <w:rStyle w:val="Hyperlink"/>
        </w:rPr>
        <w:t>https://doi.org/</w:t>
      </w:r>
      <w:r w:rsidR="000317A9" w:rsidRPr="00752C5D">
        <w:rPr>
          <w:rStyle w:val="Hyperlink"/>
        </w:rPr>
        <w:t>10.62872/wth1bt02</w:t>
      </w:r>
    </w:hyperlink>
  </w:p>
  <w:p w14:paraId="0F0D0BA3" w14:textId="77777777" w:rsidR="000317A9" w:rsidRDefault="000317A9">
    <w:pPr>
      <w:pBdr>
        <w:top w:val="nil"/>
        <w:left w:val="nil"/>
        <w:bottom w:val="single" w:sz="6" w:space="1" w:color="000000"/>
        <w:right w:val="nil"/>
        <w:between w:val="nil"/>
      </w:pBdr>
      <w:tabs>
        <w:tab w:val="center" w:pos="4680"/>
        <w:tab w:val="right" w:pos="9360"/>
      </w:tabs>
      <w:jc w:val="both"/>
    </w:pPr>
  </w:p>
  <w:p w14:paraId="4833B9EF" w14:textId="77777777" w:rsidR="001901FE" w:rsidRDefault="001901FE">
    <w:pPr>
      <w:pBdr>
        <w:top w:val="nil"/>
        <w:left w:val="nil"/>
        <w:bottom w:val="nil"/>
        <w:right w:val="nil"/>
        <w:between w:val="nil"/>
      </w:pBdr>
      <w:tabs>
        <w:tab w:val="center" w:pos="4680"/>
        <w:tab w:val="right" w:pos="9360"/>
      </w:tabs>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86D8A"/>
    <w:multiLevelType w:val="multilevel"/>
    <w:tmpl w:val="4A2E4A48"/>
    <w:lvl w:ilvl="0">
      <w:start w:val="1"/>
      <w:numFmt w:val="bullet"/>
      <w:lvlText w:val="●"/>
      <w:lvlJc w:val="left"/>
      <w:pPr>
        <w:ind w:left="504" w:hanging="216"/>
      </w:pPr>
      <w:rPr>
        <w:rFonts w:ascii="Noto Sans Symbols" w:eastAsia="Noto Sans Symbols" w:hAnsi="Noto Sans Symbols" w:cs="Noto Sans Symbols"/>
        <w:sz w:val="16"/>
        <w:szCs w:val="16"/>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240CCE"/>
    <w:multiLevelType w:val="multilevel"/>
    <w:tmpl w:val="DF38267C"/>
    <w:lvl w:ilvl="0">
      <w:start w:val="1"/>
      <w:numFmt w:val="upperRoman"/>
      <w:lvlText w:val="%1."/>
      <w:lvlJc w:val="left"/>
      <w:pPr>
        <w:ind w:left="288" w:hanging="288"/>
      </w:pPr>
      <w:rPr>
        <w:rFonts w:ascii="Helvetica Neue" w:eastAsia="Helvetica Neue" w:hAnsi="Helvetica Neue" w:cs="Helvetica Neue"/>
        <w:b/>
        <w:bCs/>
        <w:i w:val="0"/>
        <w:iCs w:val="0"/>
        <w:smallCaps/>
        <w:strike w:val="0"/>
        <w:color w:val="0070C0"/>
        <w:sz w:val="18"/>
        <w:szCs w:val="18"/>
        <w:u w:val="none"/>
        <w:vertAlign w:val="baseline"/>
      </w:rPr>
    </w:lvl>
    <w:lvl w:ilvl="1">
      <w:start w:val="1"/>
      <w:numFmt w:val="upperLetter"/>
      <w:lvlText w:val="%2."/>
      <w:lvlJc w:val="left"/>
      <w:pPr>
        <w:ind w:left="288" w:hanging="288"/>
      </w:pPr>
      <w:rPr>
        <w:rFonts w:ascii="Times New Roman" w:eastAsia="Times New Roman" w:hAnsi="Times New Roman" w:cs="Times New Roman"/>
        <w:b w:val="0"/>
        <w:bCs w:val="0"/>
        <w:i w:val="0"/>
        <w:iCs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A997B18"/>
    <w:multiLevelType w:val="multilevel"/>
    <w:tmpl w:val="501CB578"/>
    <w:lvl w:ilvl="0">
      <w:start w:val="1"/>
      <w:numFmt w:val="decimal"/>
      <w:pStyle w:val="IEEE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17476445">
    <w:abstractNumId w:val="0"/>
  </w:num>
  <w:num w:numId="2" w16cid:durableId="752507458">
    <w:abstractNumId w:val="1"/>
  </w:num>
  <w:num w:numId="3" w16cid:durableId="456532726">
    <w:abstractNumId w:val="2"/>
  </w:num>
  <w:num w:numId="4" w16cid:durableId="17601745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1FE"/>
    <w:rsid w:val="000317A9"/>
    <w:rsid w:val="00032933"/>
    <w:rsid w:val="00146EB0"/>
    <w:rsid w:val="001901FE"/>
    <w:rsid w:val="0021147B"/>
    <w:rsid w:val="00242252"/>
    <w:rsid w:val="00250F0E"/>
    <w:rsid w:val="002E4617"/>
    <w:rsid w:val="00356F14"/>
    <w:rsid w:val="00540C97"/>
    <w:rsid w:val="00646DD4"/>
    <w:rsid w:val="006C30E4"/>
    <w:rsid w:val="00742ECC"/>
    <w:rsid w:val="00763429"/>
    <w:rsid w:val="008E479D"/>
    <w:rsid w:val="009D44D5"/>
    <w:rsid w:val="00A12B4C"/>
    <w:rsid w:val="00AE693C"/>
    <w:rsid w:val="00B75983"/>
    <w:rsid w:val="00BA3E70"/>
    <w:rsid w:val="00BA655A"/>
    <w:rsid w:val="00C72DDA"/>
    <w:rsid w:val="00D4220D"/>
    <w:rsid w:val="00FB2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70963"/>
  <w15:docId w15:val="{1CE07A36-DCCD-4AEB-90DF-AB2D3576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Calibri" w:eastAsia="Calibri" w:hAnsi="Calibri" w:cs="Calibri"/>
      <w:color w:val="2F5496"/>
      <w:sz w:val="32"/>
      <w:szCs w:val="32"/>
    </w:rPr>
  </w:style>
  <w:style w:type="paragraph" w:styleId="Heading2">
    <w:name w:val="heading 2"/>
    <w:basedOn w:val="Normal"/>
    <w:next w:val="Normal"/>
    <w:link w:val="Heading2Char"/>
    <w:uiPriority w:val="9"/>
    <w:semiHidden/>
    <w:unhideWhenUsed/>
    <w:qFormat/>
    <w:pPr>
      <w:outlineLvl w:val="1"/>
    </w:pPr>
    <w:rPr>
      <w:b/>
      <w:bCs/>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ascii="Calibri" w:eastAsia="Calibri" w:hAnsi="Calibri" w:cs="Calibri"/>
      <w:color w:val="1F3863"/>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NoSpacing">
    <w:name w:val="No Spacing"/>
    <w:link w:val="NoSpacingChar"/>
    <w:uiPriority w:val="1"/>
    <w:qFormat/>
    <w:rsid w:val="006F41E6"/>
    <w:pPr>
      <w:ind w:firstLine="851"/>
      <w:jc w:val="both"/>
    </w:pPr>
    <w:rPr>
      <w:noProof/>
      <w:szCs w:val="22"/>
      <w:lang w:val="en-US"/>
    </w:rPr>
  </w:style>
  <w:style w:type="paragraph" w:customStyle="1" w:styleId="Default">
    <w:name w:val="Default"/>
    <w:rsid w:val="006F41E6"/>
    <w:pPr>
      <w:autoSpaceDE w:val="0"/>
      <w:autoSpaceDN w:val="0"/>
      <w:adjustRightInd w:val="0"/>
    </w:pPr>
    <w:rPr>
      <w:color w:val="000000"/>
      <w:lang w:val="en-US"/>
    </w:rPr>
  </w:style>
  <w:style w:type="paragraph" w:styleId="Header">
    <w:name w:val="header"/>
    <w:basedOn w:val="Normal"/>
    <w:link w:val="HeaderChar"/>
    <w:uiPriority w:val="99"/>
    <w:unhideWhenUsed/>
    <w:rsid w:val="006F41E6"/>
    <w:pPr>
      <w:tabs>
        <w:tab w:val="center" w:pos="4680"/>
        <w:tab w:val="right" w:pos="9360"/>
      </w:tabs>
      <w:ind w:firstLine="851"/>
      <w:jc w:val="both"/>
    </w:pPr>
    <w:rPr>
      <w:noProof/>
      <w:szCs w:val="22"/>
      <w:lang w:val="en-US"/>
    </w:rPr>
  </w:style>
  <w:style w:type="character" w:customStyle="1" w:styleId="HeaderChar">
    <w:name w:val="Header Char"/>
    <w:basedOn w:val="DefaultParagraphFont"/>
    <w:link w:val="Header"/>
    <w:uiPriority w:val="99"/>
    <w:rsid w:val="006F41E6"/>
    <w:rPr>
      <w:rFonts w:ascii="Times New Roman" w:eastAsia="Times New Roman" w:hAnsi="Times New Roman" w:cs="Times New Roman"/>
      <w:noProof/>
      <w:szCs w:val="22"/>
      <w:lang w:val="en-US"/>
    </w:rPr>
  </w:style>
  <w:style w:type="paragraph" w:styleId="Footer">
    <w:name w:val="footer"/>
    <w:basedOn w:val="Normal"/>
    <w:link w:val="FooterChar"/>
    <w:uiPriority w:val="99"/>
    <w:unhideWhenUsed/>
    <w:rsid w:val="006F41E6"/>
    <w:pPr>
      <w:tabs>
        <w:tab w:val="center" w:pos="4680"/>
        <w:tab w:val="right" w:pos="9360"/>
      </w:tabs>
      <w:ind w:firstLine="851"/>
      <w:jc w:val="both"/>
    </w:pPr>
    <w:rPr>
      <w:noProof/>
      <w:szCs w:val="22"/>
      <w:lang w:val="en-US"/>
    </w:rPr>
  </w:style>
  <w:style w:type="character" w:customStyle="1" w:styleId="FooterChar">
    <w:name w:val="Footer Char"/>
    <w:basedOn w:val="DefaultParagraphFont"/>
    <w:link w:val="Footer"/>
    <w:uiPriority w:val="99"/>
    <w:rsid w:val="006F41E6"/>
    <w:rPr>
      <w:rFonts w:ascii="Times New Roman" w:eastAsia="Times New Roman" w:hAnsi="Times New Roman" w:cs="Times New Roman"/>
      <w:noProof/>
      <w:szCs w:val="22"/>
      <w:lang w:val="en-US"/>
    </w:rPr>
  </w:style>
  <w:style w:type="character" w:styleId="PageNumber">
    <w:name w:val="page number"/>
    <w:basedOn w:val="DefaultParagraphFont"/>
    <w:uiPriority w:val="99"/>
    <w:semiHidden/>
    <w:unhideWhenUsed/>
    <w:rsid w:val="006F41E6"/>
    <w:rPr>
      <w:rFonts w:cs="Times New Roman"/>
    </w:rPr>
  </w:style>
  <w:style w:type="paragraph" w:customStyle="1" w:styleId="FormatPendahuluan">
    <w:name w:val="Format Pendahuluan"/>
    <w:basedOn w:val="NoSpacing"/>
    <w:qFormat/>
    <w:rsid w:val="006F41E6"/>
    <w:pPr>
      <w:ind w:firstLine="0"/>
    </w:pPr>
    <w:rPr>
      <w:rFonts w:ascii="Candara" w:hAnsi="Candara"/>
      <w:b/>
      <w:color w:val="ED7D31" w:themeColor="accent2"/>
      <w:sz w:val="26"/>
      <w:szCs w:val="26"/>
      <w:lang w:val="id-ID"/>
    </w:rPr>
  </w:style>
  <w:style w:type="paragraph" w:customStyle="1" w:styleId="HeaderJurnalyangakanterbit">
    <w:name w:val="Header Jurnal yang akan terbit"/>
    <w:basedOn w:val="Footer"/>
    <w:qFormat/>
    <w:rsid w:val="006F41E6"/>
    <w:pPr>
      <w:ind w:firstLine="0"/>
      <w:jc w:val="right"/>
    </w:pPr>
    <w:rPr>
      <w:rFonts w:ascii="Franklin Gothic Medium Cond" w:hAnsi="Franklin Gothic Medium Cond"/>
      <w:sz w:val="20"/>
      <w:szCs w:val="20"/>
    </w:rPr>
  </w:style>
  <w:style w:type="paragraph" w:styleId="ListParagraph">
    <w:name w:val="List Paragraph"/>
    <w:basedOn w:val="Normal"/>
    <w:link w:val="ListParagraphChar"/>
    <w:uiPriority w:val="34"/>
    <w:qFormat/>
    <w:rsid w:val="006F41E6"/>
    <w:pPr>
      <w:spacing w:after="200" w:line="276" w:lineRule="auto"/>
      <w:ind w:left="720"/>
      <w:contextualSpacing/>
    </w:pPr>
    <w:rPr>
      <w:rFonts w:ascii="Calibri" w:eastAsia="Calibri" w:hAnsi="Calibri"/>
      <w:sz w:val="22"/>
      <w:szCs w:val="22"/>
    </w:rPr>
  </w:style>
  <w:style w:type="table" w:styleId="TableGrid">
    <w:name w:val="Table Grid"/>
    <w:basedOn w:val="TableNormal"/>
    <w:uiPriority w:val="39"/>
    <w:rsid w:val="006F4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13E9C"/>
    <w:rPr>
      <w:color w:val="0000FF"/>
      <w:u w:val="single"/>
    </w:rPr>
  </w:style>
  <w:style w:type="character" w:customStyle="1" w:styleId="ListParagraphChar">
    <w:name w:val="List Paragraph Char"/>
    <w:basedOn w:val="DefaultParagraphFont"/>
    <w:link w:val="ListParagraph"/>
    <w:uiPriority w:val="34"/>
    <w:rsid w:val="00013E9C"/>
    <w:rPr>
      <w:rFonts w:ascii="Calibri" w:eastAsia="Calibri" w:hAnsi="Calibri" w:cs="Times New Roman"/>
      <w:sz w:val="22"/>
      <w:szCs w:val="22"/>
      <w:lang w:val="id-ID"/>
    </w:rPr>
  </w:style>
  <w:style w:type="paragraph" w:customStyle="1" w:styleId="EndNoteBibliography">
    <w:name w:val="EndNote Bibliography"/>
    <w:basedOn w:val="Normal"/>
    <w:link w:val="EndNoteBibliographyChar"/>
    <w:rsid w:val="00013E9C"/>
    <w:pPr>
      <w:spacing w:after="160"/>
    </w:pPr>
    <w:rPr>
      <w:rFonts w:eastAsia="Calibri"/>
      <w:noProof/>
      <w:sz w:val="22"/>
      <w:szCs w:val="22"/>
      <w:lang w:val="en-US"/>
    </w:rPr>
  </w:style>
  <w:style w:type="character" w:customStyle="1" w:styleId="EndNoteBibliographyChar">
    <w:name w:val="EndNote Bibliography Char"/>
    <w:basedOn w:val="ListParagraphChar"/>
    <w:link w:val="EndNoteBibliography"/>
    <w:rsid w:val="00013E9C"/>
    <w:rPr>
      <w:rFonts w:ascii="Times New Roman" w:eastAsia="Calibri" w:hAnsi="Times New Roman" w:cs="Times New Roman"/>
      <w:noProof/>
      <w:sz w:val="22"/>
      <w:szCs w:val="22"/>
      <w:lang w:val="en-US"/>
    </w:rPr>
  </w:style>
  <w:style w:type="paragraph" w:styleId="BalloonText">
    <w:name w:val="Balloon Text"/>
    <w:basedOn w:val="Normal"/>
    <w:link w:val="BalloonTextChar"/>
    <w:uiPriority w:val="99"/>
    <w:semiHidden/>
    <w:unhideWhenUsed/>
    <w:rsid w:val="00EC0242"/>
    <w:rPr>
      <w:sz w:val="18"/>
      <w:szCs w:val="18"/>
    </w:rPr>
  </w:style>
  <w:style w:type="character" w:customStyle="1" w:styleId="BalloonTextChar">
    <w:name w:val="Balloon Text Char"/>
    <w:basedOn w:val="DefaultParagraphFont"/>
    <w:link w:val="BalloonText"/>
    <w:uiPriority w:val="99"/>
    <w:semiHidden/>
    <w:rsid w:val="00EC0242"/>
    <w:rPr>
      <w:rFonts w:ascii="Times New Roman" w:eastAsia="Times New Roman" w:hAnsi="Times New Roman" w:cs="Times New Roman"/>
      <w:sz w:val="18"/>
      <w:szCs w:val="18"/>
      <w:lang w:eastAsia="en-GB"/>
    </w:rPr>
  </w:style>
  <w:style w:type="character" w:customStyle="1" w:styleId="fontstyle01">
    <w:name w:val="fontstyle01"/>
    <w:basedOn w:val="DefaultParagraphFont"/>
    <w:rsid w:val="0071305B"/>
    <w:rPr>
      <w:rFonts w:ascii="TimesNewRomanPSMT" w:hAnsi="TimesNewRomanPSMT" w:hint="default"/>
      <w:b w:val="0"/>
      <w:bCs w:val="0"/>
      <w:i w:val="0"/>
      <w:iCs w:val="0"/>
      <w:color w:val="000000"/>
      <w:sz w:val="20"/>
      <w:szCs w:val="20"/>
    </w:rPr>
  </w:style>
  <w:style w:type="paragraph" w:styleId="FootnoteText">
    <w:name w:val="footnote text"/>
    <w:basedOn w:val="Normal"/>
    <w:link w:val="FootnoteTextChar"/>
    <w:semiHidden/>
    <w:unhideWhenUsed/>
    <w:rsid w:val="00207464"/>
    <w:rPr>
      <w:sz w:val="20"/>
      <w:szCs w:val="20"/>
      <w:lang w:val="en-US"/>
    </w:rPr>
  </w:style>
  <w:style w:type="character" w:customStyle="1" w:styleId="FootnoteTextChar">
    <w:name w:val="Footnote Text Char"/>
    <w:basedOn w:val="DefaultParagraphFont"/>
    <w:link w:val="FootnoteText"/>
    <w:semiHidden/>
    <w:rsid w:val="00207464"/>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655BED"/>
    <w:rPr>
      <w:sz w:val="16"/>
      <w:szCs w:val="16"/>
    </w:rPr>
  </w:style>
  <w:style w:type="paragraph" w:styleId="CommentText">
    <w:name w:val="annotation text"/>
    <w:basedOn w:val="Normal"/>
    <w:link w:val="CommentTextChar"/>
    <w:uiPriority w:val="99"/>
    <w:semiHidden/>
    <w:unhideWhenUsed/>
    <w:rsid w:val="00655BED"/>
    <w:rPr>
      <w:sz w:val="20"/>
      <w:szCs w:val="20"/>
    </w:rPr>
  </w:style>
  <w:style w:type="character" w:customStyle="1" w:styleId="CommentTextChar">
    <w:name w:val="Comment Text Char"/>
    <w:basedOn w:val="DefaultParagraphFont"/>
    <w:link w:val="CommentText"/>
    <w:uiPriority w:val="99"/>
    <w:semiHidden/>
    <w:rsid w:val="00655BE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55BED"/>
    <w:rPr>
      <w:b/>
      <w:bCs/>
    </w:rPr>
  </w:style>
  <w:style w:type="character" w:customStyle="1" w:styleId="CommentSubjectChar">
    <w:name w:val="Comment Subject Char"/>
    <w:basedOn w:val="CommentTextChar"/>
    <w:link w:val="CommentSubject"/>
    <w:uiPriority w:val="99"/>
    <w:semiHidden/>
    <w:rsid w:val="00655BED"/>
    <w:rPr>
      <w:rFonts w:ascii="Times New Roman" w:eastAsia="Times New Roman" w:hAnsi="Times New Roman" w:cs="Times New Roman"/>
      <w:b/>
      <w:bCs/>
      <w:sz w:val="20"/>
      <w:szCs w:val="20"/>
      <w:lang w:eastAsia="en-GB"/>
    </w:rPr>
  </w:style>
  <w:style w:type="table" w:customStyle="1" w:styleId="PlainTable31">
    <w:name w:val="Plain Table 31"/>
    <w:basedOn w:val="TableNormal"/>
    <w:uiPriority w:val="43"/>
    <w:rsid w:val="002F54C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1">
    <w:name w:val="Unresolved Mention1"/>
    <w:basedOn w:val="DefaultParagraphFont"/>
    <w:uiPriority w:val="99"/>
    <w:semiHidden/>
    <w:unhideWhenUsed/>
    <w:rsid w:val="000B39B8"/>
    <w:rPr>
      <w:color w:val="605E5C"/>
      <w:shd w:val="clear" w:color="auto" w:fill="E1DFDD"/>
    </w:rPr>
  </w:style>
  <w:style w:type="character" w:styleId="PlaceholderText">
    <w:name w:val="Placeholder Text"/>
    <w:basedOn w:val="DefaultParagraphFont"/>
    <w:uiPriority w:val="99"/>
    <w:semiHidden/>
    <w:rsid w:val="00840B2C"/>
    <w:rPr>
      <w:color w:val="808080"/>
    </w:rPr>
  </w:style>
  <w:style w:type="character" w:customStyle="1" w:styleId="issue-heading">
    <w:name w:val="issue-heading"/>
    <w:basedOn w:val="DefaultParagraphFont"/>
    <w:rsid w:val="00885347"/>
  </w:style>
  <w:style w:type="character" w:customStyle="1" w:styleId="apple-converted-space">
    <w:name w:val="apple-converted-space"/>
    <w:basedOn w:val="DefaultParagraphFont"/>
    <w:rsid w:val="00885347"/>
  </w:style>
  <w:style w:type="character" w:customStyle="1" w:styleId="hlfld-contribauthor">
    <w:name w:val="hlfld-contribauthor"/>
    <w:basedOn w:val="DefaultParagraphFont"/>
    <w:rsid w:val="00885347"/>
  </w:style>
  <w:style w:type="character" w:customStyle="1" w:styleId="nlmgiven-names">
    <w:name w:val="nlm_given-names"/>
    <w:basedOn w:val="DefaultParagraphFont"/>
    <w:rsid w:val="00885347"/>
  </w:style>
  <w:style w:type="character" w:customStyle="1" w:styleId="nlmyear">
    <w:name w:val="nlm_year"/>
    <w:basedOn w:val="DefaultParagraphFont"/>
    <w:rsid w:val="00885347"/>
  </w:style>
  <w:style w:type="character" w:customStyle="1" w:styleId="nlmpublisher-name">
    <w:name w:val="nlm_publisher-name"/>
    <w:basedOn w:val="DefaultParagraphFont"/>
    <w:rsid w:val="00885347"/>
  </w:style>
  <w:style w:type="character" w:customStyle="1" w:styleId="Heading2Char">
    <w:name w:val="Heading 2 Char"/>
    <w:basedOn w:val="DefaultParagraphFont"/>
    <w:link w:val="Heading2"/>
    <w:uiPriority w:val="9"/>
    <w:rsid w:val="00885347"/>
    <w:rPr>
      <w:rFonts w:ascii="Times New Roman" w:eastAsia="Times New Roman" w:hAnsi="Times New Roman" w:cs="Times New Roman"/>
      <w:b/>
      <w:bCs/>
      <w:sz w:val="36"/>
      <w:szCs w:val="36"/>
      <w:lang w:val="en-US"/>
    </w:rPr>
  </w:style>
  <w:style w:type="character" w:customStyle="1" w:styleId="separator">
    <w:name w:val="separator"/>
    <w:basedOn w:val="DefaultParagraphFont"/>
    <w:rsid w:val="00885347"/>
  </w:style>
  <w:style w:type="character" w:customStyle="1" w:styleId="nlmsource">
    <w:name w:val="nlm_source"/>
    <w:basedOn w:val="DefaultParagraphFont"/>
    <w:rsid w:val="00885347"/>
  </w:style>
  <w:style w:type="character" w:customStyle="1" w:styleId="off-screen">
    <w:name w:val="off-screen"/>
    <w:basedOn w:val="DefaultParagraphFont"/>
    <w:rsid w:val="00885347"/>
  </w:style>
  <w:style w:type="paragraph" w:customStyle="1" w:styleId="active">
    <w:name w:val="active"/>
    <w:basedOn w:val="Normal"/>
    <w:rsid w:val="00885347"/>
    <w:pPr>
      <w:spacing w:before="100" w:beforeAutospacing="1" w:after="100" w:afterAutospacing="1"/>
    </w:pPr>
    <w:rPr>
      <w:lang w:val="en-US"/>
    </w:rPr>
  </w:style>
  <w:style w:type="character" w:customStyle="1" w:styleId="hlfld-title">
    <w:name w:val="hlfld-title"/>
    <w:basedOn w:val="DefaultParagraphFont"/>
    <w:rsid w:val="00885347"/>
  </w:style>
  <w:style w:type="character" w:customStyle="1" w:styleId="maintextleft">
    <w:name w:val="maintextleft"/>
    <w:basedOn w:val="DefaultParagraphFont"/>
    <w:rsid w:val="00885347"/>
  </w:style>
  <w:style w:type="character" w:styleId="Strong">
    <w:name w:val="Strong"/>
    <w:basedOn w:val="DefaultParagraphFont"/>
    <w:uiPriority w:val="22"/>
    <w:qFormat/>
    <w:rsid w:val="00885347"/>
    <w:rPr>
      <w:b/>
      <w:bCs/>
    </w:rPr>
  </w:style>
  <w:style w:type="character" w:customStyle="1" w:styleId="Heading1Char">
    <w:name w:val="Heading 1 Char"/>
    <w:basedOn w:val="DefaultParagraphFont"/>
    <w:link w:val="Heading1"/>
    <w:uiPriority w:val="9"/>
    <w:rsid w:val="00885347"/>
    <w:rPr>
      <w:rFonts w:asciiTheme="majorHAnsi" w:eastAsiaTheme="majorEastAsia" w:hAnsiTheme="majorHAnsi" w:cstheme="majorBidi"/>
      <w:color w:val="2F5496" w:themeColor="accent1" w:themeShade="BF"/>
      <w:sz w:val="32"/>
      <w:szCs w:val="32"/>
      <w:lang w:eastAsia="en-GB"/>
    </w:rPr>
  </w:style>
  <w:style w:type="character" w:customStyle="1" w:styleId="title-text">
    <w:name w:val="title-text"/>
    <w:basedOn w:val="DefaultParagraphFont"/>
    <w:rsid w:val="00885347"/>
  </w:style>
  <w:style w:type="character" w:customStyle="1" w:styleId="sr-only">
    <w:name w:val="sr-only"/>
    <w:basedOn w:val="DefaultParagraphFont"/>
    <w:rsid w:val="00885347"/>
  </w:style>
  <w:style w:type="character" w:customStyle="1" w:styleId="text">
    <w:name w:val="text"/>
    <w:basedOn w:val="DefaultParagraphFont"/>
    <w:rsid w:val="00885347"/>
  </w:style>
  <w:style w:type="character" w:customStyle="1" w:styleId="Heading3Char">
    <w:name w:val="Heading 3 Char"/>
    <w:basedOn w:val="DefaultParagraphFont"/>
    <w:link w:val="Heading3"/>
    <w:uiPriority w:val="9"/>
    <w:semiHidden/>
    <w:rsid w:val="00DB68A6"/>
    <w:rPr>
      <w:rFonts w:asciiTheme="majorHAnsi" w:eastAsiaTheme="majorEastAsia" w:hAnsiTheme="majorHAnsi" w:cstheme="majorBidi"/>
      <w:color w:val="1F3763" w:themeColor="accent1" w:themeShade="7F"/>
      <w:lang w:eastAsia="en-GB"/>
    </w:rPr>
  </w:style>
  <w:style w:type="character" w:customStyle="1" w:styleId="NoSpacingChar">
    <w:name w:val="No Spacing Char"/>
    <w:basedOn w:val="DefaultParagraphFont"/>
    <w:link w:val="NoSpacing"/>
    <w:uiPriority w:val="1"/>
    <w:rsid w:val="00194A1D"/>
    <w:rPr>
      <w:rFonts w:ascii="Times New Roman" w:eastAsia="Times New Roman" w:hAnsi="Times New Roman" w:cs="Times New Roman"/>
      <w:noProof/>
      <w:szCs w:val="22"/>
      <w:lang w:val="en-US"/>
    </w:rPr>
  </w:style>
  <w:style w:type="table" w:customStyle="1" w:styleId="a">
    <w:basedOn w:val="TableNormal"/>
    <w:tblPr>
      <w:tblStyleRowBandSize w:val="1"/>
      <w:tblStyleColBandSize w:val="1"/>
    </w:tblPr>
  </w:style>
  <w:style w:type="paragraph" w:customStyle="1" w:styleId="IEEEParagraph">
    <w:name w:val="IEEE Paragraph"/>
    <w:basedOn w:val="Normal"/>
    <w:link w:val="IEEEParagraphChar"/>
    <w:rsid w:val="00C33EF6"/>
    <w:pPr>
      <w:adjustRightInd w:val="0"/>
      <w:snapToGrid w:val="0"/>
      <w:ind w:firstLine="216"/>
      <w:jc w:val="both"/>
    </w:pPr>
    <w:rPr>
      <w:rFonts w:eastAsia="SimSun"/>
      <w:sz w:val="20"/>
      <w:lang w:val="en-AU" w:eastAsia="zh-CN"/>
    </w:rPr>
  </w:style>
  <w:style w:type="paragraph" w:customStyle="1" w:styleId="IEEEHeading1">
    <w:name w:val="IEEE Heading 1"/>
    <w:basedOn w:val="Normal"/>
    <w:next w:val="IEEEParagraph"/>
    <w:link w:val="IEEEHeading1Char"/>
    <w:rsid w:val="00C33EF6"/>
    <w:pPr>
      <w:numPr>
        <w:numId w:val="3"/>
      </w:numPr>
      <w:adjustRightInd w:val="0"/>
      <w:snapToGrid w:val="0"/>
      <w:spacing w:before="180" w:after="60"/>
      <w:jc w:val="center"/>
    </w:pPr>
    <w:rPr>
      <w:rFonts w:eastAsia="SimSun"/>
      <w:smallCaps/>
      <w:sz w:val="20"/>
      <w:lang w:val="en-AU" w:eastAsia="zh-CN"/>
    </w:rPr>
  </w:style>
  <w:style w:type="character" w:customStyle="1" w:styleId="IEEEParagraphChar">
    <w:name w:val="IEEE Paragraph Char"/>
    <w:link w:val="IEEEParagraph"/>
    <w:rsid w:val="00C33EF6"/>
    <w:rPr>
      <w:rFonts w:eastAsia="SimSun"/>
      <w:sz w:val="20"/>
      <w:lang w:val="en-AU" w:eastAsia="zh-CN"/>
    </w:rPr>
  </w:style>
  <w:style w:type="numbering" w:customStyle="1" w:styleId="IEEEBullet1">
    <w:name w:val="IEEE Bullet 1"/>
    <w:basedOn w:val="NoList"/>
    <w:rsid w:val="00C33EF6"/>
  </w:style>
  <w:style w:type="character" w:customStyle="1" w:styleId="IEEEHeading1Char">
    <w:name w:val="IEEE Heading 1 Char"/>
    <w:basedOn w:val="DefaultParagraphFont"/>
    <w:link w:val="IEEEHeading1"/>
    <w:rsid w:val="00C33EF6"/>
    <w:rPr>
      <w:rFonts w:eastAsia="SimSun"/>
      <w:smallCaps/>
      <w:sz w:val="20"/>
      <w:lang w:val="en-AU"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540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rahmad2002@gmail.com"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hyperlink" Target="https://doi.org/10.62872/wth1bt02" TargetMode="External"/><Relationship Id="rId1" Type="http://schemas.openxmlformats.org/officeDocument/2006/relationships/hyperlink" Target="https://ejournal-nawalaedu.com/index.php/j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7HDmLl/yMpNY/YTlCl/4akfctw==">CgMxLjAyDmguanJpZG12MnI3ZnV1OAByITFqd0NncW1tX0tCTHZ0SVRLWmFLT3JCVndJWGs2UDc4aw==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A8DEEC7-8105-4CF5-8281-9E18205F1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6057</Words>
  <Characters>34531</Characters>
  <Application>Microsoft Office Word</Application>
  <DocSecurity>0</DocSecurity>
  <Lines>287</Lines>
  <Paragraphs>81</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Forecasting and Prediction of Renewable Generation</vt:lpstr>
      <vt:lpstr>    Optimization and Control of Energy Conversion and Dispatch</vt:lpstr>
      <vt:lpstr>    Fault Detection, Diagnosis, and Predictive Maintenance</vt:lpstr>
      <vt:lpstr>    System Integration, Smart Grids, and Emerging Frontiers</vt:lpstr>
    </vt:vector>
  </TitlesOfParts>
  <Company/>
  <LinksUpToDate>false</LinksUpToDate>
  <CharactersWithSpaces>40507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Dwi</dc:creator>
  <cp:lastModifiedBy>ASUS NOTEBOOK</cp:lastModifiedBy>
  <cp:revision>2</cp:revision>
  <dcterms:created xsi:type="dcterms:W3CDTF">2026-08-21T07:58:00Z</dcterms:created>
  <dcterms:modified xsi:type="dcterms:W3CDTF">2026-08-21T07:58:00Z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2f64c8ae-adc0-30dd-a03e-007909e803c9</vt:lpwstr>
  </property>
</Properties>
</file>