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FD44D" w14:textId="6CCD3147" w:rsidR="000B7E44" w:rsidRPr="00BD7BB0" w:rsidRDefault="009A1FCA" w:rsidP="00E711A7">
      <w:pPr>
        <w:spacing w:before="240" w:after="240"/>
        <w:jc w:val="both"/>
        <w:rPr>
          <w:rFonts w:ascii="Cambria" w:hAnsi="Cambria"/>
          <w:b/>
          <w:bCs/>
          <w:color w:val="004F88"/>
          <w:sz w:val="32"/>
          <w:szCs w:val="32"/>
        </w:rPr>
      </w:pPr>
      <w:r w:rsidRPr="009A1FCA">
        <w:rPr>
          <w:rFonts w:ascii="Cambria" w:hAnsi="Cambria"/>
          <w:b/>
          <w:bCs/>
          <w:sz w:val="32"/>
          <w:szCs w:val="32"/>
        </w:rPr>
        <w:t>Technology-Based Learning in Higher Education: Current Trends and Future Perspectives</w:t>
      </w:r>
    </w:p>
    <w:p w14:paraId="518066FD" w14:textId="590A9914" w:rsidR="004A0B63" w:rsidRPr="00DB1981" w:rsidRDefault="00DB1981" w:rsidP="00BD7BB0">
      <w:pPr>
        <w:shd w:val="clear" w:color="auto" w:fill="004F88"/>
        <w:jc w:val="both"/>
        <w:rPr>
          <w:rFonts w:ascii="Cambria" w:hAnsi="Cambria"/>
          <w:i/>
          <w:color w:val="FFFFFF" w:themeColor="background1"/>
          <w:sz w:val="16"/>
          <w:szCs w:val="16"/>
          <w:vertAlign w:val="superscript"/>
        </w:rPr>
      </w:pPr>
      <w:r>
        <w:rPr>
          <w:rFonts w:ascii="Cambria" w:hAnsi="Cambria"/>
          <w:b/>
          <w:bCs/>
          <w:color w:val="FFFFFF" w:themeColor="background1"/>
          <w:lang w:val="id-ID" w:bidi="en-US"/>
        </w:rPr>
        <w:t>Nur Patria Pujitama Sari</w:t>
      </w:r>
      <w:r>
        <w:rPr>
          <w:rFonts w:ascii="Cambria" w:hAnsi="Cambria"/>
          <w:b/>
          <w:bCs/>
          <w:color w:val="FFFFFF" w:themeColor="background1"/>
          <w:vertAlign w:val="superscript"/>
          <w:lang w:val="id-ID" w:bidi="en-US"/>
        </w:rPr>
        <w:t>1</w:t>
      </w:r>
    </w:p>
    <w:p w14:paraId="45FBC9A8" w14:textId="1854FC0E" w:rsidR="00F82EE8" w:rsidRPr="007A5C2E" w:rsidRDefault="00FF6C26" w:rsidP="0045576D">
      <w:pPr>
        <w:spacing w:before="60"/>
        <w:ind w:right="-1"/>
        <w:rPr>
          <w:rFonts w:ascii="Cambria" w:hAnsi="Cambria"/>
          <w:color w:val="000000"/>
          <w:sz w:val="16"/>
          <w:szCs w:val="16"/>
        </w:rPr>
      </w:pPr>
      <w:r w:rsidRPr="007A5C2E">
        <w:rPr>
          <w:rFonts w:ascii="Cambria" w:hAnsi="Cambria"/>
          <w:color w:val="000000"/>
          <w:sz w:val="16"/>
          <w:szCs w:val="16"/>
          <w:vertAlign w:val="superscript"/>
          <w:lang w:val="id-ID"/>
        </w:rPr>
        <w:t>1</w:t>
      </w:r>
      <w:r w:rsidR="00DB1981">
        <w:rPr>
          <w:rFonts w:ascii="Cambria" w:hAnsi="Cambria"/>
          <w:color w:val="000000"/>
          <w:sz w:val="16"/>
          <w:szCs w:val="16"/>
          <w:vertAlign w:val="superscript"/>
        </w:rPr>
        <w:t xml:space="preserve"> </w:t>
      </w:r>
      <w:proofErr w:type="spellStart"/>
      <w:r w:rsidR="00DB1981">
        <w:rPr>
          <w:rFonts w:ascii="Cambria" w:hAnsi="Cambria"/>
          <w:color w:val="000000"/>
          <w:sz w:val="16"/>
          <w:szCs w:val="16"/>
        </w:rPr>
        <w:t>Sekolah</w:t>
      </w:r>
      <w:proofErr w:type="spellEnd"/>
      <w:r w:rsidR="00DB1981">
        <w:rPr>
          <w:rFonts w:ascii="Cambria" w:hAnsi="Cambria"/>
          <w:color w:val="000000"/>
          <w:sz w:val="16"/>
          <w:szCs w:val="16"/>
        </w:rPr>
        <w:t xml:space="preserve"> Tinggi </w:t>
      </w:r>
      <w:proofErr w:type="spellStart"/>
      <w:r w:rsidR="00DB1981">
        <w:rPr>
          <w:rFonts w:ascii="Cambria" w:hAnsi="Cambria"/>
          <w:color w:val="000000"/>
          <w:sz w:val="16"/>
          <w:szCs w:val="16"/>
        </w:rPr>
        <w:t>Ilmu</w:t>
      </w:r>
      <w:proofErr w:type="spellEnd"/>
      <w:r w:rsidR="00DB1981">
        <w:rPr>
          <w:rFonts w:ascii="Cambria" w:hAnsi="Cambria"/>
          <w:color w:val="000000"/>
          <w:sz w:val="16"/>
          <w:szCs w:val="16"/>
        </w:rPr>
        <w:t xml:space="preserve"> Pelayaran, Jakarta, Indonesia</w:t>
      </w:r>
    </w:p>
    <w:p w14:paraId="67741263" w14:textId="77777777" w:rsidR="00FB1C7F" w:rsidRPr="008378A6" w:rsidRDefault="00FB1C7F" w:rsidP="00513B4F">
      <w:pPr>
        <w:pStyle w:val="author"/>
        <w:pBdr>
          <w:bottom w:val="single" w:sz="4" w:space="1" w:color="auto"/>
        </w:pBdr>
        <w:spacing w:line="240" w:lineRule="auto"/>
        <w:ind w:right="-1"/>
        <w:jc w:val="left"/>
        <w:rPr>
          <w:rFonts w:ascii="Cambria" w:hAnsi="Cambria"/>
          <w:i/>
          <w:sz w:val="16"/>
          <w:szCs w:val="16"/>
        </w:rPr>
      </w:pPr>
    </w:p>
    <w:p w14:paraId="6AF2506E" w14:textId="3F8D66BC" w:rsidR="000066B1" w:rsidRPr="009A5170" w:rsidRDefault="00882419" w:rsidP="000066B1">
      <w:pPr>
        <w:rPr>
          <w:rFonts w:ascii="Cambria" w:hAnsi="Cambria" w:cs="Arial"/>
          <w:lang w:val="pt-BR"/>
        </w:rPr>
      </w:pPr>
      <w:r w:rsidRPr="00947D41">
        <w:rPr>
          <w:b/>
          <w:noProof/>
        </w:rPr>
        <mc:AlternateContent>
          <mc:Choice Requires="wps">
            <w:drawing>
              <wp:anchor distT="45720" distB="45720" distL="114300" distR="114300" simplePos="0" relativeHeight="251656704" behindDoc="0" locked="0" layoutInCell="1" allowOverlap="1" wp14:anchorId="0A2756F3" wp14:editId="39A7E5B4">
                <wp:simplePos x="0" y="0"/>
                <wp:positionH relativeFrom="column">
                  <wp:posOffset>-635</wp:posOffset>
                </wp:positionH>
                <wp:positionV relativeFrom="paragraph">
                  <wp:posOffset>174625</wp:posOffset>
                </wp:positionV>
                <wp:extent cx="1617345" cy="3059430"/>
                <wp:effectExtent l="0" t="0" r="1905" b="762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7345" cy="3059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2E58AD" w14:textId="77777777" w:rsidR="00DB73B5" w:rsidRPr="006A2A40" w:rsidRDefault="00DB73B5" w:rsidP="000066B1">
                            <w:pPr>
                              <w:pBdr>
                                <w:bottom w:val="single" w:sz="4" w:space="1" w:color="auto"/>
                              </w:pBdr>
                              <w:rPr>
                                <w:rFonts w:ascii="Cambria" w:eastAsia="Times New Roman" w:hAnsi="Cambria" w:cs="AdvOTc4d0b532"/>
                                <w:b/>
                                <w:bCs/>
                                <w:sz w:val="18"/>
                                <w:szCs w:val="18"/>
                              </w:rPr>
                            </w:pPr>
                            <w:r w:rsidRPr="006A2A40">
                              <w:rPr>
                                <w:rFonts w:ascii="Cambria" w:eastAsia="Times New Roman" w:hAnsi="Cambria" w:cs="AdvOTc4d0b532"/>
                                <w:b/>
                                <w:bCs/>
                                <w:sz w:val="18"/>
                                <w:szCs w:val="18"/>
                              </w:rPr>
                              <w:t xml:space="preserve">A R T I C L E </w:t>
                            </w:r>
                            <w:r w:rsidR="006A2A40" w:rsidRPr="006A2A40">
                              <w:rPr>
                                <w:rFonts w:ascii="Cambria" w:eastAsia="Times New Roman" w:hAnsi="Cambria" w:cs="AdvOTc4d0b532"/>
                                <w:b/>
                                <w:bCs/>
                                <w:sz w:val="18"/>
                                <w:szCs w:val="18"/>
                              </w:rPr>
                              <w:t xml:space="preserve">  </w:t>
                            </w:r>
                            <w:r w:rsidRPr="006A2A40">
                              <w:rPr>
                                <w:rFonts w:ascii="Cambria" w:eastAsia="Times New Roman" w:hAnsi="Cambria" w:cs="AdvOTc4d0b532"/>
                                <w:b/>
                                <w:bCs/>
                                <w:sz w:val="18"/>
                                <w:szCs w:val="18"/>
                              </w:rPr>
                              <w:t>I N F O</w:t>
                            </w:r>
                          </w:p>
                          <w:p w14:paraId="540CE892" w14:textId="77777777" w:rsidR="00E711A7" w:rsidRPr="006A2A40" w:rsidRDefault="00E711A7" w:rsidP="00E711A7">
                            <w:pPr>
                              <w:rPr>
                                <w:b/>
                                <w:i/>
                                <w:sz w:val="8"/>
                                <w:szCs w:val="10"/>
                              </w:rPr>
                            </w:pPr>
                          </w:p>
                          <w:p w14:paraId="0E430F78" w14:textId="77777777" w:rsidR="00E711A7" w:rsidRPr="00AD7785" w:rsidRDefault="00E711A7" w:rsidP="00E711A7">
                            <w:pPr>
                              <w:rPr>
                                <w:b/>
                                <w:iCs/>
                                <w:sz w:val="16"/>
                                <w:szCs w:val="18"/>
                              </w:rPr>
                            </w:pPr>
                            <w:r w:rsidRPr="00AD7785">
                              <w:rPr>
                                <w:b/>
                                <w:iCs/>
                                <w:sz w:val="16"/>
                                <w:szCs w:val="18"/>
                              </w:rPr>
                              <w:t>Article history:</w:t>
                            </w:r>
                          </w:p>
                          <w:p w14:paraId="3DB52DAF" w14:textId="50AB13D4" w:rsidR="00E711A7" w:rsidRDefault="00E711A7" w:rsidP="00E711A7">
                            <w:pPr>
                              <w:pBdr>
                                <w:bottom w:val="single" w:sz="8" w:space="1" w:color="auto"/>
                              </w:pBdr>
                              <w:rPr>
                                <w:sz w:val="16"/>
                                <w:szCs w:val="18"/>
                              </w:rPr>
                            </w:pPr>
                            <w:r>
                              <w:rPr>
                                <w:sz w:val="16"/>
                                <w:szCs w:val="18"/>
                              </w:rPr>
                              <w:t xml:space="preserve">Received </w:t>
                            </w:r>
                            <w:r w:rsidR="0044492D">
                              <w:rPr>
                                <w:sz w:val="16"/>
                                <w:szCs w:val="18"/>
                              </w:rPr>
                              <w:t>August 14, 2026</w:t>
                            </w:r>
                          </w:p>
                          <w:p w14:paraId="6AA66A2A" w14:textId="7DC39616" w:rsidR="00E711A7" w:rsidRDefault="00E711A7" w:rsidP="00E711A7">
                            <w:pPr>
                              <w:pBdr>
                                <w:bottom w:val="single" w:sz="8" w:space="1" w:color="auto"/>
                              </w:pBdr>
                              <w:rPr>
                                <w:sz w:val="16"/>
                                <w:szCs w:val="18"/>
                              </w:rPr>
                            </w:pPr>
                            <w:r>
                              <w:rPr>
                                <w:sz w:val="16"/>
                                <w:szCs w:val="18"/>
                              </w:rPr>
                              <w:t xml:space="preserve">Revised </w:t>
                            </w:r>
                            <w:r w:rsidR="00535740">
                              <w:rPr>
                                <w:sz w:val="16"/>
                                <w:szCs w:val="18"/>
                              </w:rPr>
                              <w:t>August 18, 2026</w:t>
                            </w:r>
                          </w:p>
                          <w:p w14:paraId="0D43B410" w14:textId="5EDF68EB" w:rsidR="00E711A7" w:rsidRDefault="00E711A7" w:rsidP="00E711A7">
                            <w:pPr>
                              <w:pBdr>
                                <w:bottom w:val="single" w:sz="8" w:space="1" w:color="auto"/>
                              </w:pBdr>
                              <w:rPr>
                                <w:sz w:val="16"/>
                                <w:szCs w:val="18"/>
                              </w:rPr>
                            </w:pPr>
                            <w:r>
                              <w:rPr>
                                <w:sz w:val="16"/>
                                <w:szCs w:val="18"/>
                              </w:rPr>
                              <w:t xml:space="preserve">Accepted </w:t>
                            </w:r>
                            <w:r w:rsidR="00535740">
                              <w:rPr>
                                <w:sz w:val="16"/>
                                <w:szCs w:val="18"/>
                              </w:rPr>
                              <w:t>August 21, 2026</w:t>
                            </w:r>
                          </w:p>
                          <w:p w14:paraId="795F8561" w14:textId="1BFF1CB5" w:rsidR="00E711A7" w:rsidRDefault="00E711A7" w:rsidP="00E711A7">
                            <w:pPr>
                              <w:pBdr>
                                <w:bottom w:val="single" w:sz="8" w:space="1" w:color="auto"/>
                              </w:pBdr>
                              <w:rPr>
                                <w:sz w:val="16"/>
                                <w:szCs w:val="18"/>
                              </w:rPr>
                            </w:pPr>
                            <w:r>
                              <w:rPr>
                                <w:sz w:val="16"/>
                                <w:szCs w:val="18"/>
                              </w:rPr>
                              <w:t xml:space="preserve">Available online </w:t>
                            </w:r>
                            <w:r w:rsidR="00535740">
                              <w:rPr>
                                <w:sz w:val="16"/>
                                <w:szCs w:val="18"/>
                              </w:rPr>
                              <w:t>August 25, 2026</w:t>
                            </w:r>
                          </w:p>
                          <w:p w14:paraId="608CC396" w14:textId="77777777" w:rsidR="00DB73B5" w:rsidRPr="006A2A40" w:rsidRDefault="00DB73B5" w:rsidP="000066B1">
                            <w:pPr>
                              <w:rPr>
                                <w:rFonts w:ascii="Cambria" w:hAnsi="Cambria"/>
                                <w:i/>
                                <w:sz w:val="8"/>
                                <w:szCs w:val="8"/>
                              </w:rPr>
                            </w:pPr>
                          </w:p>
                          <w:p w14:paraId="13383A52" w14:textId="77777777" w:rsidR="00DB73B5" w:rsidRPr="006A2A40" w:rsidRDefault="00DB73B5" w:rsidP="000066B1">
                            <w:pPr>
                              <w:rPr>
                                <w:rFonts w:ascii="Cambria" w:hAnsi="Cambria"/>
                                <w:b/>
                                <w:bCs/>
                                <w:i/>
                                <w:iCs/>
                                <w:sz w:val="16"/>
                                <w:szCs w:val="16"/>
                              </w:rPr>
                            </w:pPr>
                            <w:r w:rsidRPr="006A2A40">
                              <w:rPr>
                                <w:rFonts w:ascii="Cambria" w:hAnsi="Cambria"/>
                                <w:b/>
                                <w:bCs/>
                                <w:i/>
                                <w:iCs/>
                                <w:sz w:val="16"/>
                                <w:szCs w:val="16"/>
                              </w:rPr>
                              <w:t>Kata Kunci:</w:t>
                            </w:r>
                          </w:p>
                          <w:p w14:paraId="6F2213AF" w14:textId="3DE8330B" w:rsidR="00DB73B5" w:rsidRPr="00FC1076" w:rsidRDefault="007653D5" w:rsidP="00414795">
                            <w:pPr>
                              <w:jc w:val="both"/>
                              <w:rPr>
                                <w:rFonts w:ascii="Cambria" w:hAnsi="Cambria"/>
                                <w:i/>
                                <w:color w:val="000000"/>
                                <w:sz w:val="16"/>
                                <w:szCs w:val="16"/>
                                <w:lang w:val="ms-MY"/>
                              </w:rPr>
                            </w:pPr>
                            <w:r w:rsidRPr="007653D5">
                              <w:rPr>
                                <w:rFonts w:ascii="Cambria" w:hAnsi="Cambria"/>
                                <w:i/>
                                <w:color w:val="000000"/>
                                <w:sz w:val="16"/>
                                <w:szCs w:val="16"/>
                                <w:lang w:val="id-ID"/>
                              </w:rPr>
                              <w:t>pembelajaran berbasis teknologi; pendidikan tinggi; transformasi digital; kecerdasan buatan; tinjauan pustaka sistematis.</w:t>
                            </w:r>
                          </w:p>
                          <w:p w14:paraId="095A0DC0" w14:textId="77777777" w:rsidR="00956B78" w:rsidRPr="006A2A40" w:rsidRDefault="00956B78" w:rsidP="000066B1">
                            <w:pPr>
                              <w:rPr>
                                <w:rFonts w:ascii="Cambria" w:hAnsi="Cambria"/>
                                <w:i/>
                                <w:sz w:val="8"/>
                                <w:szCs w:val="8"/>
                                <w:lang w:val="id-ID"/>
                              </w:rPr>
                            </w:pPr>
                          </w:p>
                          <w:p w14:paraId="5ECE24E3" w14:textId="77777777" w:rsidR="00DB73B5" w:rsidRPr="006A2A40" w:rsidRDefault="00DB73B5" w:rsidP="000066B1">
                            <w:pPr>
                              <w:rPr>
                                <w:rFonts w:ascii="Cambria" w:hAnsi="Cambria" w:cs="Arial"/>
                                <w:b/>
                                <w:bCs/>
                                <w:iCs/>
                                <w:sz w:val="16"/>
                                <w:szCs w:val="16"/>
                              </w:rPr>
                            </w:pPr>
                            <w:r w:rsidRPr="006A2A40">
                              <w:rPr>
                                <w:rFonts w:ascii="Cambria" w:hAnsi="Cambria" w:cs="Arial"/>
                                <w:b/>
                                <w:bCs/>
                                <w:iCs/>
                                <w:sz w:val="16"/>
                                <w:szCs w:val="16"/>
                              </w:rPr>
                              <w:t>Keywords:</w:t>
                            </w:r>
                          </w:p>
                          <w:p w14:paraId="6F1F2DDF" w14:textId="4F4BB6AE" w:rsidR="00734ABF" w:rsidRDefault="007653D5" w:rsidP="006271C1">
                            <w:pPr>
                              <w:rPr>
                                <w:rFonts w:ascii="Cambria" w:hAnsi="Cambria"/>
                                <w:i/>
                                <w:color w:val="000000"/>
                                <w:sz w:val="16"/>
                                <w:szCs w:val="16"/>
                                <w:lang w:val="id-ID"/>
                              </w:rPr>
                            </w:pPr>
                            <w:r w:rsidRPr="007653D5">
                              <w:rPr>
                                <w:rFonts w:ascii="Cambria" w:hAnsi="Cambria"/>
                                <w:iCs/>
                                <w:color w:val="000000"/>
                                <w:sz w:val="16"/>
                                <w:szCs w:val="16"/>
                                <w:lang w:val="id-ID"/>
                              </w:rPr>
                              <w:t>technology-based learning; higher education; digital transformation; artificial intelligence; systematic literature review</w:t>
                            </w:r>
                            <w:r w:rsidR="007C3CD7" w:rsidRPr="007C3CD7">
                              <w:rPr>
                                <w:rFonts w:ascii="Cambria" w:hAnsi="Cambria"/>
                                <w:iCs/>
                                <w:color w:val="000000"/>
                                <w:sz w:val="16"/>
                                <w:szCs w:val="16"/>
                                <w:lang w:val="id-ID"/>
                              </w:rPr>
                              <w:t>.</w:t>
                            </w:r>
                          </w:p>
                          <w:p w14:paraId="42CBE379" w14:textId="77777777" w:rsidR="005955CF" w:rsidRDefault="005955CF" w:rsidP="006271C1">
                            <w:pPr>
                              <w:rPr>
                                <w:rFonts w:ascii="Cambria" w:hAnsi="Cambria"/>
                                <w:i/>
                                <w:color w:val="000000"/>
                                <w:sz w:val="16"/>
                                <w:szCs w:val="16"/>
                                <w:lang w:val="id-ID"/>
                              </w:rPr>
                            </w:pPr>
                          </w:p>
                          <w:p w14:paraId="61F4E84D" w14:textId="77777777" w:rsidR="00BD7BB0" w:rsidRDefault="00BD7BB0" w:rsidP="00BD7BB0">
                            <w:pPr>
                              <w:pBdr>
                                <w:top w:val="single" w:sz="4" w:space="1" w:color="D9D9D9"/>
                                <w:left w:val="nil"/>
                                <w:bottom w:val="nil"/>
                                <w:right w:val="nil"/>
                                <w:between w:val="nil"/>
                              </w:pBdr>
                              <w:tabs>
                                <w:tab w:val="center" w:pos="4513"/>
                                <w:tab w:val="right" w:pos="9026"/>
                              </w:tabs>
                              <w:rPr>
                                <w:rFonts w:ascii="Book Antiqua" w:eastAsia="Book Antiqua" w:hAnsi="Book Antiqua" w:cs="Book Antiqua"/>
                                <w:sz w:val="18"/>
                                <w:szCs w:val="18"/>
                              </w:rPr>
                            </w:pPr>
                            <w:r>
                              <w:rPr>
                                <w:rFonts w:ascii="Book Antiqua" w:eastAsia="Book Antiqua" w:hAnsi="Book Antiqua" w:cs="Book Antiqua"/>
                                <w:noProof/>
                                <w:sz w:val="18"/>
                                <w:szCs w:val="18"/>
                              </w:rPr>
                              <w:drawing>
                                <wp:inline distT="114300" distB="114300" distL="114300" distR="114300" wp14:anchorId="49D9A3B9" wp14:editId="3D6ADAC1">
                                  <wp:extent cx="904250" cy="310836"/>
                                  <wp:effectExtent l="0" t="0" r="0" b="0"/>
                                  <wp:docPr id="87323106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904250" cy="310836"/>
                                          </a:xfrm>
                                          <a:prstGeom prst="rect">
                                            <a:avLst/>
                                          </a:prstGeom>
                                          <a:ln/>
                                        </pic:spPr>
                                      </pic:pic>
                                    </a:graphicData>
                                  </a:graphic>
                                </wp:inline>
                              </w:drawing>
                            </w:r>
                          </w:p>
                          <w:p w14:paraId="0B80B927" w14:textId="77777777" w:rsidR="00BD7BB0" w:rsidRPr="00BD7BB0" w:rsidRDefault="00BD7BB0" w:rsidP="00BD7BB0">
                            <w:pPr>
                              <w:pBdr>
                                <w:top w:val="single" w:sz="4" w:space="1" w:color="D9D9D9"/>
                                <w:left w:val="nil"/>
                                <w:bottom w:val="nil"/>
                                <w:right w:val="nil"/>
                                <w:between w:val="nil"/>
                              </w:pBdr>
                              <w:tabs>
                                <w:tab w:val="center" w:pos="4513"/>
                                <w:tab w:val="right" w:pos="9026"/>
                              </w:tabs>
                              <w:rPr>
                                <w:rFonts w:ascii="Book Antiqua" w:eastAsia="Book Antiqua" w:hAnsi="Book Antiqua" w:cs="Book Antiqua"/>
                                <w:sz w:val="16"/>
                                <w:szCs w:val="16"/>
                              </w:rPr>
                            </w:pPr>
                            <w:r w:rsidRPr="00BD7BB0">
                              <w:rPr>
                                <w:rFonts w:ascii="Book Antiqua" w:eastAsia="Book Antiqua" w:hAnsi="Book Antiqua" w:cs="Book Antiqua"/>
                                <w:sz w:val="16"/>
                                <w:szCs w:val="16"/>
                              </w:rPr>
                              <w:t>Creative Commons Attribution-</w:t>
                            </w:r>
                            <w:proofErr w:type="spellStart"/>
                            <w:r w:rsidRPr="00BD7BB0">
                              <w:rPr>
                                <w:rFonts w:ascii="Book Antiqua" w:eastAsia="Book Antiqua" w:hAnsi="Book Antiqua" w:cs="Book Antiqua"/>
                                <w:sz w:val="16"/>
                                <w:szCs w:val="16"/>
                              </w:rPr>
                              <w:t>ShareAlike</w:t>
                            </w:r>
                            <w:proofErr w:type="spellEnd"/>
                            <w:r w:rsidRPr="00BD7BB0">
                              <w:rPr>
                                <w:rFonts w:ascii="Book Antiqua" w:eastAsia="Book Antiqua" w:hAnsi="Book Antiqua" w:cs="Book Antiqua"/>
                                <w:sz w:val="16"/>
                                <w:szCs w:val="16"/>
                              </w:rPr>
                              <w:t xml:space="preserve"> 4.0 International License:</w:t>
                            </w:r>
                          </w:p>
                          <w:p w14:paraId="644BC536" w14:textId="77777777" w:rsidR="00BD7BB0" w:rsidRPr="00BD7BB0" w:rsidRDefault="00BD7BB0" w:rsidP="00BD7BB0">
                            <w:pPr>
                              <w:pBdr>
                                <w:top w:val="single" w:sz="4" w:space="1" w:color="D9D9D9"/>
                                <w:left w:val="nil"/>
                                <w:bottom w:val="nil"/>
                                <w:right w:val="nil"/>
                                <w:between w:val="nil"/>
                              </w:pBdr>
                              <w:tabs>
                                <w:tab w:val="center" w:pos="4513"/>
                                <w:tab w:val="right" w:pos="9026"/>
                              </w:tabs>
                              <w:rPr>
                                <w:rFonts w:ascii="Book Antiqua" w:eastAsia="Book Antiqua" w:hAnsi="Book Antiqua" w:cs="Book Antiqua"/>
                                <w:color w:val="1155CC"/>
                                <w:sz w:val="16"/>
                                <w:szCs w:val="16"/>
                                <w:u w:val="single"/>
                              </w:rPr>
                            </w:pPr>
                            <w:hyperlink r:id="rId9">
                              <w:r w:rsidRPr="00BD7BB0">
                                <w:rPr>
                                  <w:rFonts w:ascii="Book Antiqua" w:eastAsia="Book Antiqua" w:hAnsi="Book Antiqua" w:cs="Book Antiqua"/>
                                  <w:color w:val="1155CC"/>
                                  <w:sz w:val="16"/>
                                  <w:szCs w:val="16"/>
                                  <w:u w:val="single"/>
                                </w:rPr>
                                <w:t>https://creativecommons.org/licenses/by-sa/4.0/</w:t>
                              </w:r>
                            </w:hyperlink>
                          </w:p>
                          <w:p w14:paraId="7F0C9641" w14:textId="77777777" w:rsidR="00E711A7" w:rsidRPr="00BD7BB0" w:rsidRDefault="00E711A7" w:rsidP="006271C1">
                            <w:pPr>
                              <w:rPr>
                                <w:rFonts w:ascii="Cambria" w:hAnsi="Cambria"/>
                                <w:i/>
                                <w:color w:val="000000"/>
                                <w:sz w:val="16"/>
                                <w:szCs w:val="16"/>
                              </w:rPr>
                            </w:pPr>
                          </w:p>
                        </w:txbxContent>
                      </wps:txbx>
                      <wps:bodyPr rot="0" vert="horz" wrap="square" lIns="0" tIns="0" rIns="82296"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A2756F3" id="_x0000_t202" coordsize="21600,21600" o:spt="202" path="m,l,21600r21600,l21600,xe">
                <v:stroke joinstyle="miter"/>
                <v:path gradientshapeok="t" o:connecttype="rect"/>
              </v:shapetype>
              <v:shape id="Text Box 2" o:spid="_x0000_s1026" type="#_x0000_t202" style="position:absolute;margin-left:-.05pt;margin-top:13.75pt;width:127.35pt;height:240.9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" stroked="f">
                <v:textbox inset="0,0,6.48pt,0">
                  <w:txbxContent>
                    <w:p w14:paraId="732E58AD" w14:textId="77777777" w:rsidR="00DB73B5" w:rsidRPr="006A2A40" w:rsidRDefault="00DB73B5" w:rsidP="000066B1">
                      <w:pPr>
                        <w:pBdr>
                          <w:bottom w:val="single" w:sz="4" w:space="1" w:color="auto"/>
                        </w:pBdr>
                        <w:rPr>
                          <w:rFonts w:ascii="Cambria" w:eastAsia="Times New Roman" w:hAnsi="Cambria" w:cs="AdvOTc4d0b532"/>
                          <w:b/>
                          <w:bCs/>
                          <w:sz w:val="18"/>
                          <w:szCs w:val="18"/>
                        </w:rPr>
                      </w:pPr>
                      <w:r w:rsidRPr="006A2A40">
                        <w:rPr>
                          <w:rFonts w:ascii="Cambria" w:eastAsia="Times New Roman" w:hAnsi="Cambria" w:cs="AdvOTc4d0b532"/>
                          <w:b/>
                          <w:bCs/>
                          <w:sz w:val="18"/>
                          <w:szCs w:val="18"/>
                        </w:rPr>
                        <w:t xml:space="preserve">A R T I C L E </w:t>
                      </w:r>
                      <w:r w:rsidR="006A2A40" w:rsidRPr="006A2A40">
                        <w:rPr>
                          <w:rFonts w:ascii="Cambria" w:eastAsia="Times New Roman" w:hAnsi="Cambria" w:cs="AdvOTc4d0b532"/>
                          <w:b/>
                          <w:bCs/>
                          <w:sz w:val="18"/>
                          <w:szCs w:val="18"/>
                        </w:rPr>
                        <w:t xml:space="preserve">  </w:t>
                      </w:r>
                      <w:r w:rsidRPr="006A2A40">
                        <w:rPr>
                          <w:rFonts w:ascii="Cambria" w:eastAsia="Times New Roman" w:hAnsi="Cambria" w:cs="AdvOTc4d0b532"/>
                          <w:b/>
                          <w:bCs/>
                          <w:sz w:val="18"/>
                          <w:szCs w:val="18"/>
                        </w:rPr>
                        <w:t>I N F O</w:t>
                      </w:r>
                    </w:p>
                    <w:p w14:paraId="540CE892" w14:textId="77777777" w:rsidR="00E711A7" w:rsidRPr="006A2A40" w:rsidRDefault="00E711A7" w:rsidP="00E711A7">
                      <w:pPr>
                        <w:rPr>
                          <w:b/>
                          <w:i/>
                          <w:sz w:val="8"/>
                          <w:szCs w:val="10"/>
                        </w:rPr>
                      </w:pPr>
                    </w:p>
                    <w:p w14:paraId="0E430F78" w14:textId="77777777" w:rsidR="00E711A7" w:rsidRPr="00AD7785" w:rsidRDefault="00E711A7" w:rsidP="00E711A7">
                      <w:pPr>
                        <w:rPr>
                          <w:b/>
                          <w:iCs/>
                          <w:sz w:val="16"/>
                          <w:szCs w:val="18"/>
                        </w:rPr>
                      </w:pPr>
                      <w:r w:rsidRPr="00AD7785">
                        <w:rPr>
                          <w:b/>
                          <w:iCs/>
                          <w:sz w:val="16"/>
                          <w:szCs w:val="18"/>
                        </w:rPr>
                        <w:t>Article history:</w:t>
                      </w:r>
                    </w:p>
                    <w:p w14:paraId="3DB52DAF" w14:textId="50AB13D4" w:rsidR="00E711A7" w:rsidRDefault="00E711A7" w:rsidP="00E711A7">
                      <w:pPr>
                        <w:pBdr>
                          <w:bottom w:val="single" w:sz="8" w:space="1" w:color="auto"/>
                        </w:pBdr>
                        <w:rPr>
                          <w:sz w:val="16"/>
                          <w:szCs w:val="18"/>
                        </w:rPr>
                      </w:pPr>
                      <w:r>
                        <w:rPr>
                          <w:sz w:val="16"/>
                          <w:szCs w:val="18"/>
                        </w:rPr>
                        <w:t xml:space="preserve">Received </w:t>
                      </w:r>
                      <w:r w:rsidR="0044492D">
                        <w:rPr>
                          <w:sz w:val="16"/>
                          <w:szCs w:val="18"/>
                        </w:rPr>
                        <w:t>August 14, 2026</w:t>
                      </w:r>
                    </w:p>
                    <w:p w14:paraId="6AA66A2A" w14:textId="7DC39616" w:rsidR="00E711A7" w:rsidRDefault="00E711A7" w:rsidP="00E711A7">
                      <w:pPr>
                        <w:pBdr>
                          <w:bottom w:val="single" w:sz="8" w:space="1" w:color="auto"/>
                        </w:pBdr>
                        <w:rPr>
                          <w:sz w:val="16"/>
                          <w:szCs w:val="18"/>
                        </w:rPr>
                      </w:pPr>
                      <w:r>
                        <w:rPr>
                          <w:sz w:val="16"/>
                          <w:szCs w:val="18"/>
                        </w:rPr>
                        <w:t xml:space="preserve">Revised </w:t>
                      </w:r>
                      <w:r w:rsidR="00535740">
                        <w:rPr>
                          <w:sz w:val="16"/>
                          <w:szCs w:val="18"/>
                        </w:rPr>
                        <w:t>August 18, 2026</w:t>
                      </w:r>
                    </w:p>
                    <w:p w14:paraId="0D43B410" w14:textId="5EDF68EB" w:rsidR="00E711A7" w:rsidRDefault="00E711A7" w:rsidP="00E711A7">
                      <w:pPr>
                        <w:pBdr>
                          <w:bottom w:val="single" w:sz="8" w:space="1" w:color="auto"/>
                        </w:pBdr>
                        <w:rPr>
                          <w:sz w:val="16"/>
                          <w:szCs w:val="18"/>
                        </w:rPr>
                      </w:pPr>
                      <w:r>
                        <w:rPr>
                          <w:sz w:val="16"/>
                          <w:szCs w:val="18"/>
                        </w:rPr>
                        <w:t xml:space="preserve">Accepted </w:t>
                      </w:r>
                      <w:r w:rsidR="00535740">
                        <w:rPr>
                          <w:sz w:val="16"/>
                          <w:szCs w:val="18"/>
                        </w:rPr>
                        <w:t>August 21, 2026</w:t>
                      </w:r>
                    </w:p>
                    <w:p w14:paraId="795F8561" w14:textId="1BFF1CB5" w:rsidR="00E711A7" w:rsidRDefault="00E711A7" w:rsidP="00E711A7">
                      <w:pPr>
                        <w:pBdr>
                          <w:bottom w:val="single" w:sz="8" w:space="1" w:color="auto"/>
                        </w:pBdr>
                        <w:rPr>
                          <w:sz w:val="16"/>
                          <w:szCs w:val="18"/>
                        </w:rPr>
                      </w:pPr>
                      <w:r>
                        <w:rPr>
                          <w:sz w:val="16"/>
                          <w:szCs w:val="18"/>
                        </w:rPr>
                        <w:t xml:space="preserve">Available online </w:t>
                      </w:r>
                      <w:r w:rsidR="00535740">
                        <w:rPr>
                          <w:sz w:val="16"/>
                          <w:szCs w:val="18"/>
                        </w:rPr>
                        <w:t>August 25, 2026</w:t>
                      </w:r>
                    </w:p>
                    <w:p w14:paraId="608CC396" w14:textId="77777777" w:rsidR="00DB73B5" w:rsidRPr="006A2A40" w:rsidRDefault="00DB73B5" w:rsidP="000066B1">
                      <w:pPr>
                        <w:rPr>
                          <w:rFonts w:ascii="Cambria" w:hAnsi="Cambria"/>
                          <w:i/>
                          <w:sz w:val="8"/>
                          <w:szCs w:val="8"/>
                        </w:rPr>
                      </w:pPr>
                    </w:p>
                    <w:p w14:paraId="13383A52" w14:textId="77777777" w:rsidR="00DB73B5" w:rsidRPr="006A2A40" w:rsidRDefault="00DB73B5" w:rsidP="000066B1">
                      <w:pPr>
                        <w:rPr>
                          <w:rFonts w:ascii="Cambria" w:hAnsi="Cambria"/>
                          <w:b/>
                          <w:bCs/>
                          <w:i/>
                          <w:iCs/>
                          <w:sz w:val="16"/>
                          <w:szCs w:val="16"/>
                        </w:rPr>
                      </w:pPr>
                      <w:r w:rsidRPr="006A2A40">
                        <w:rPr>
                          <w:rFonts w:ascii="Cambria" w:hAnsi="Cambria"/>
                          <w:b/>
                          <w:bCs/>
                          <w:i/>
                          <w:iCs/>
                          <w:sz w:val="16"/>
                          <w:szCs w:val="16"/>
                        </w:rPr>
                        <w:t>Kata Kunci:</w:t>
                      </w:r>
                    </w:p>
                    <w:p w14:paraId="6F2213AF" w14:textId="3DE8330B" w:rsidR="00DB73B5" w:rsidRPr="00FC1076" w:rsidRDefault="007653D5" w:rsidP="00414795">
                      <w:pPr>
                        <w:jc w:val="both"/>
                        <w:rPr>
                          <w:rFonts w:ascii="Cambria" w:hAnsi="Cambria"/>
                          <w:i/>
                          <w:color w:val="000000"/>
                          <w:sz w:val="16"/>
                          <w:szCs w:val="16"/>
                          <w:lang w:val="ms-MY"/>
                        </w:rPr>
                      </w:pPr>
                      <w:r w:rsidRPr="007653D5">
                        <w:rPr>
                          <w:rFonts w:ascii="Cambria" w:hAnsi="Cambria"/>
                          <w:i/>
                          <w:color w:val="000000"/>
                          <w:sz w:val="16"/>
                          <w:szCs w:val="16"/>
                          <w:lang w:val="id-ID"/>
                        </w:rPr>
                        <w:t>pembelajaran berbasis teknologi; pendidikan tinggi; transformasi digital; kecerdasan buatan; tinjauan pustaka sistematis.</w:t>
                      </w:r>
                    </w:p>
                    <w:p w14:paraId="095A0DC0" w14:textId="77777777" w:rsidR="00956B78" w:rsidRPr="006A2A40" w:rsidRDefault="00956B78" w:rsidP="000066B1">
                      <w:pPr>
                        <w:rPr>
                          <w:rFonts w:ascii="Cambria" w:hAnsi="Cambria"/>
                          <w:i/>
                          <w:sz w:val="8"/>
                          <w:szCs w:val="8"/>
                          <w:lang w:val="id-ID"/>
                        </w:rPr>
                      </w:pPr>
                    </w:p>
                    <w:p w14:paraId="5ECE24E3" w14:textId="77777777" w:rsidR="00DB73B5" w:rsidRPr="006A2A40" w:rsidRDefault="00DB73B5" w:rsidP="000066B1">
                      <w:pPr>
                        <w:rPr>
                          <w:rFonts w:ascii="Cambria" w:hAnsi="Cambria" w:cs="Arial"/>
                          <w:b/>
                          <w:bCs/>
                          <w:iCs/>
                          <w:sz w:val="16"/>
                          <w:szCs w:val="16"/>
                        </w:rPr>
                      </w:pPr>
                      <w:r w:rsidRPr="006A2A40">
                        <w:rPr>
                          <w:rFonts w:ascii="Cambria" w:hAnsi="Cambria" w:cs="Arial"/>
                          <w:b/>
                          <w:bCs/>
                          <w:iCs/>
                          <w:sz w:val="16"/>
                          <w:szCs w:val="16"/>
                        </w:rPr>
                        <w:t>Keywords:</w:t>
                      </w:r>
                    </w:p>
                    <w:p w14:paraId="6F1F2DDF" w14:textId="4F4BB6AE" w:rsidR="00734ABF" w:rsidRDefault="007653D5" w:rsidP="006271C1">
                      <w:pPr>
                        <w:rPr>
                          <w:rFonts w:ascii="Cambria" w:hAnsi="Cambria"/>
                          <w:i/>
                          <w:color w:val="000000"/>
                          <w:sz w:val="16"/>
                          <w:szCs w:val="16"/>
                          <w:lang w:val="id-ID"/>
                        </w:rPr>
                      </w:pPr>
                      <w:r w:rsidRPr="007653D5">
                        <w:rPr>
                          <w:rFonts w:ascii="Cambria" w:hAnsi="Cambria"/>
                          <w:iCs/>
                          <w:color w:val="000000"/>
                          <w:sz w:val="16"/>
                          <w:szCs w:val="16"/>
                          <w:lang w:val="id-ID"/>
                        </w:rPr>
                        <w:t>technology-based learning; higher education; digital transformation; artificial intelligence; systematic literature review</w:t>
                      </w:r>
                      <w:r w:rsidR="007C3CD7" w:rsidRPr="007C3CD7">
                        <w:rPr>
                          <w:rFonts w:ascii="Cambria" w:hAnsi="Cambria"/>
                          <w:iCs/>
                          <w:color w:val="000000"/>
                          <w:sz w:val="16"/>
                          <w:szCs w:val="16"/>
                          <w:lang w:val="id-ID"/>
                        </w:rPr>
                        <w:t>.</w:t>
                      </w:r>
                    </w:p>
                    <w:p w14:paraId="42CBE379" w14:textId="77777777" w:rsidR="005955CF" w:rsidRDefault="005955CF" w:rsidP="006271C1">
                      <w:pPr>
                        <w:rPr>
                          <w:rFonts w:ascii="Cambria" w:hAnsi="Cambria"/>
                          <w:i/>
                          <w:color w:val="000000"/>
                          <w:sz w:val="16"/>
                          <w:szCs w:val="16"/>
                          <w:lang w:val="id-ID"/>
                        </w:rPr>
                      </w:pPr>
                    </w:p>
                    <w:p w14:paraId="61F4E84D" w14:textId="77777777" w:rsidR="00BD7BB0" w:rsidRDefault="00BD7BB0" w:rsidP="00BD7BB0">
                      <w:pPr>
                        <w:pBdr>
                          <w:top w:val="single" w:sz="4" w:space="1" w:color="D9D9D9"/>
                          <w:left w:val="nil"/>
                          <w:bottom w:val="nil"/>
                          <w:right w:val="nil"/>
                          <w:between w:val="nil"/>
                        </w:pBdr>
                        <w:tabs>
                          <w:tab w:val="center" w:pos="4513"/>
                          <w:tab w:val="right" w:pos="9026"/>
                        </w:tabs>
                        <w:rPr>
                          <w:rFonts w:ascii="Book Antiqua" w:eastAsia="Book Antiqua" w:hAnsi="Book Antiqua" w:cs="Book Antiqua"/>
                          <w:sz w:val="18"/>
                          <w:szCs w:val="18"/>
                        </w:rPr>
                      </w:pPr>
                      <w:r>
                        <w:rPr>
                          <w:rFonts w:ascii="Book Antiqua" w:eastAsia="Book Antiqua" w:hAnsi="Book Antiqua" w:cs="Book Antiqua"/>
                          <w:noProof/>
                          <w:sz w:val="18"/>
                          <w:szCs w:val="18"/>
                        </w:rPr>
                        <w:drawing>
                          <wp:inline distT="114300" distB="114300" distL="114300" distR="114300" wp14:anchorId="49D9A3B9" wp14:editId="3D6ADAC1">
                            <wp:extent cx="904250" cy="310836"/>
                            <wp:effectExtent l="0" t="0" r="0" b="0"/>
                            <wp:docPr id="87323106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904250" cy="310836"/>
                                    </a:xfrm>
                                    <a:prstGeom prst="rect">
                                      <a:avLst/>
                                    </a:prstGeom>
                                    <a:ln/>
                                  </pic:spPr>
                                </pic:pic>
                              </a:graphicData>
                            </a:graphic>
                          </wp:inline>
                        </w:drawing>
                      </w:r>
                    </w:p>
                    <w:p w14:paraId="0B80B927" w14:textId="77777777" w:rsidR="00BD7BB0" w:rsidRPr="00BD7BB0" w:rsidRDefault="00BD7BB0" w:rsidP="00BD7BB0">
                      <w:pPr>
                        <w:pBdr>
                          <w:top w:val="single" w:sz="4" w:space="1" w:color="D9D9D9"/>
                          <w:left w:val="nil"/>
                          <w:bottom w:val="nil"/>
                          <w:right w:val="nil"/>
                          <w:between w:val="nil"/>
                        </w:pBdr>
                        <w:tabs>
                          <w:tab w:val="center" w:pos="4513"/>
                          <w:tab w:val="right" w:pos="9026"/>
                        </w:tabs>
                        <w:rPr>
                          <w:rFonts w:ascii="Book Antiqua" w:eastAsia="Book Antiqua" w:hAnsi="Book Antiqua" w:cs="Book Antiqua"/>
                          <w:sz w:val="16"/>
                          <w:szCs w:val="16"/>
                        </w:rPr>
                      </w:pPr>
                      <w:r w:rsidRPr="00BD7BB0">
                        <w:rPr>
                          <w:rFonts w:ascii="Book Antiqua" w:eastAsia="Book Antiqua" w:hAnsi="Book Antiqua" w:cs="Book Antiqua"/>
                          <w:sz w:val="16"/>
                          <w:szCs w:val="16"/>
                        </w:rPr>
                        <w:t>Creative Commons Attribution-</w:t>
                      </w:r>
                      <w:proofErr w:type="spellStart"/>
                      <w:r w:rsidRPr="00BD7BB0">
                        <w:rPr>
                          <w:rFonts w:ascii="Book Antiqua" w:eastAsia="Book Antiqua" w:hAnsi="Book Antiqua" w:cs="Book Antiqua"/>
                          <w:sz w:val="16"/>
                          <w:szCs w:val="16"/>
                        </w:rPr>
                        <w:t>ShareAlike</w:t>
                      </w:r>
                      <w:proofErr w:type="spellEnd"/>
                      <w:r w:rsidRPr="00BD7BB0">
                        <w:rPr>
                          <w:rFonts w:ascii="Book Antiqua" w:eastAsia="Book Antiqua" w:hAnsi="Book Antiqua" w:cs="Book Antiqua"/>
                          <w:sz w:val="16"/>
                          <w:szCs w:val="16"/>
                        </w:rPr>
                        <w:t xml:space="preserve"> 4.0 International License:</w:t>
                      </w:r>
                    </w:p>
                    <w:p w14:paraId="644BC536" w14:textId="77777777" w:rsidR="00BD7BB0" w:rsidRPr="00BD7BB0" w:rsidRDefault="00BD7BB0" w:rsidP="00BD7BB0">
                      <w:pPr>
                        <w:pBdr>
                          <w:top w:val="single" w:sz="4" w:space="1" w:color="D9D9D9"/>
                          <w:left w:val="nil"/>
                          <w:bottom w:val="nil"/>
                          <w:right w:val="nil"/>
                          <w:between w:val="nil"/>
                        </w:pBdr>
                        <w:tabs>
                          <w:tab w:val="center" w:pos="4513"/>
                          <w:tab w:val="right" w:pos="9026"/>
                        </w:tabs>
                        <w:rPr>
                          <w:rFonts w:ascii="Book Antiqua" w:eastAsia="Book Antiqua" w:hAnsi="Book Antiqua" w:cs="Book Antiqua"/>
                          <w:color w:val="1155CC"/>
                          <w:sz w:val="16"/>
                          <w:szCs w:val="16"/>
                          <w:u w:val="single"/>
                        </w:rPr>
                      </w:pPr>
                      <w:hyperlink r:id="rId10">
                        <w:r w:rsidRPr="00BD7BB0">
                          <w:rPr>
                            <w:rFonts w:ascii="Book Antiqua" w:eastAsia="Book Antiqua" w:hAnsi="Book Antiqua" w:cs="Book Antiqua"/>
                            <w:color w:val="1155CC"/>
                            <w:sz w:val="16"/>
                            <w:szCs w:val="16"/>
                            <w:u w:val="single"/>
                          </w:rPr>
                          <w:t>https://creativecommons.org/licenses/by-sa/4.0/</w:t>
                        </w:r>
                      </w:hyperlink>
                    </w:p>
                    <w:p w14:paraId="7F0C9641" w14:textId="77777777" w:rsidR="00E711A7" w:rsidRPr="00BD7BB0" w:rsidRDefault="00E711A7" w:rsidP="006271C1">
                      <w:pPr>
                        <w:rPr>
                          <w:rFonts w:ascii="Cambria" w:hAnsi="Cambria"/>
                          <w:i/>
                          <w:color w:val="000000"/>
                          <w:sz w:val="16"/>
                          <w:szCs w:val="16"/>
                        </w:rPr>
                      </w:pPr>
                    </w:p>
                  </w:txbxContent>
                </v:textbox>
                <w10:wrap type="square"/>
              </v:shape>
            </w:pict>
          </mc:Fallback>
        </mc:AlternateContent>
      </w:r>
    </w:p>
    <w:p w14:paraId="6D047E73" w14:textId="3C345AD5" w:rsidR="000066B1" w:rsidRPr="00E711A7" w:rsidRDefault="000066B1" w:rsidP="000066B1">
      <w:pPr>
        <w:pBdr>
          <w:bottom w:val="single" w:sz="4" w:space="1" w:color="auto"/>
        </w:pBdr>
        <w:rPr>
          <w:rFonts w:ascii="Cambria" w:eastAsia="Times New Roman" w:hAnsi="Cambria" w:cs="AdvOTc4d0b532"/>
          <w:b/>
          <w:i/>
          <w:iCs/>
          <w:sz w:val="18"/>
          <w:szCs w:val="18"/>
        </w:rPr>
      </w:pPr>
      <w:r w:rsidRPr="00E711A7">
        <w:rPr>
          <w:rFonts w:ascii="Cambria" w:eastAsia="Times New Roman" w:hAnsi="Cambria" w:cs="AdvOTc4d0b532"/>
          <w:b/>
          <w:i/>
          <w:iCs/>
          <w:sz w:val="18"/>
          <w:szCs w:val="18"/>
        </w:rPr>
        <w:t>A B S T R A K</w:t>
      </w:r>
    </w:p>
    <w:p w14:paraId="6073F098" w14:textId="24045CFE" w:rsidR="00E7655A" w:rsidRDefault="007653D5" w:rsidP="000066B1">
      <w:pPr>
        <w:jc w:val="both"/>
        <w:rPr>
          <w:rFonts w:ascii="Arial" w:hAnsi="Arial" w:cs="Arial"/>
          <w:bCs/>
          <w:i/>
          <w:iCs/>
          <w:sz w:val="20"/>
          <w:szCs w:val="27"/>
        </w:rPr>
      </w:pPr>
      <w:proofErr w:type="spellStart"/>
      <w:r w:rsidRPr="007653D5">
        <w:rPr>
          <w:rStyle w:val="rynqvb"/>
          <w:rFonts w:ascii="Arial" w:hAnsi="Arial" w:cs="Arial"/>
          <w:i/>
          <w:iCs/>
          <w:sz w:val="20"/>
          <w:szCs w:val="20"/>
        </w:rPr>
        <w:t>Pesatnya</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penyebaran</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teknologi</w:t>
      </w:r>
      <w:proofErr w:type="spellEnd"/>
      <w:r w:rsidRPr="007653D5">
        <w:rPr>
          <w:rStyle w:val="rynqvb"/>
          <w:rFonts w:ascii="Arial" w:hAnsi="Arial" w:cs="Arial"/>
          <w:i/>
          <w:iCs/>
          <w:sz w:val="20"/>
          <w:szCs w:val="20"/>
        </w:rPr>
        <w:t xml:space="preserve"> digital </w:t>
      </w:r>
      <w:proofErr w:type="spellStart"/>
      <w:r w:rsidRPr="007653D5">
        <w:rPr>
          <w:rStyle w:val="rynqvb"/>
          <w:rFonts w:ascii="Arial" w:hAnsi="Arial" w:cs="Arial"/>
          <w:i/>
          <w:iCs/>
          <w:sz w:val="20"/>
          <w:szCs w:val="20"/>
        </w:rPr>
        <w:t>telah</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mengubah</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praktik</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pengajaran</w:t>
      </w:r>
      <w:proofErr w:type="spellEnd"/>
      <w:r w:rsidRPr="007653D5">
        <w:rPr>
          <w:rStyle w:val="rynqvb"/>
          <w:rFonts w:ascii="Arial" w:hAnsi="Arial" w:cs="Arial"/>
          <w:i/>
          <w:iCs/>
          <w:sz w:val="20"/>
          <w:szCs w:val="20"/>
        </w:rPr>
        <w:t xml:space="preserve"> dan </w:t>
      </w:r>
      <w:proofErr w:type="spellStart"/>
      <w:r w:rsidRPr="007653D5">
        <w:rPr>
          <w:rStyle w:val="rynqvb"/>
          <w:rFonts w:ascii="Arial" w:hAnsi="Arial" w:cs="Arial"/>
          <w:i/>
          <w:iCs/>
          <w:sz w:val="20"/>
          <w:szCs w:val="20"/>
        </w:rPr>
        <w:t>pembelajaran</w:t>
      </w:r>
      <w:proofErr w:type="spellEnd"/>
      <w:r w:rsidRPr="007653D5">
        <w:rPr>
          <w:rStyle w:val="rynqvb"/>
          <w:rFonts w:ascii="Arial" w:hAnsi="Arial" w:cs="Arial"/>
          <w:i/>
          <w:iCs/>
          <w:sz w:val="20"/>
          <w:szCs w:val="20"/>
        </w:rPr>
        <w:t xml:space="preserve"> di </w:t>
      </w:r>
      <w:proofErr w:type="spellStart"/>
      <w:r w:rsidRPr="007653D5">
        <w:rPr>
          <w:rStyle w:val="rynqvb"/>
          <w:rFonts w:ascii="Arial" w:hAnsi="Arial" w:cs="Arial"/>
          <w:i/>
          <w:iCs/>
          <w:sz w:val="20"/>
          <w:szCs w:val="20"/>
        </w:rPr>
        <w:t>perguruan</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tinggi</w:t>
      </w:r>
      <w:proofErr w:type="spellEnd"/>
      <w:r w:rsidRPr="007653D5">
        <w:rPr>
          <w:rStyle w:val="rynqvb"/>
          <w:rFonts w:ascii="Arial" w:hAnsi="Arial" w:cs="Arial"/>
          <w:i/>
          <w:iCs/>
          <w:sz w:val="20"/>
          <w:szCs w:val="20"/>
        </w:rPr>
        <w:t xml:space="preserve"> di </w:t>
      </w:r>
      <w:proofErr w:type="spellStart"/>
      <w:r w:rsidRPr="007653D5">
        <w:rPr>
          <w:rStyle w:val="rynqvb"/>
          <w:rFonts w:ascii="Arial" w:hAnsi="Arial" w:cs="Arial"/>
          <w:i/>
          <w:iCs/>
          <w:sz w:val="20"/>
          <w:szCs w:val="20"/>
        </w:rPr>
        <w:t>seluruh</w:t>
      </w:r>
      <w:proofErr w:type="spellEnd"/>
      <w:r w:rsidRPr="007653D5">
        <w:rPr>
          <w:rStyle w:val="rynqvb"/>
          <w:rFonts w:ascii="Arial" w:hAnsi="Arial" w:cs="Arial"/>
          <w:i/>
          <w:iCs/>
          <w:sz w:val="20"/>
          <w:szCs w:val="20"/>
        </w:rPr>
        <w:t xml:space="preserve"> dunia. </w:t>
      </w:r>
      <w:proofErr w:type="spellStart"/>
      <w:r w:rsidRPr="007653D5">
        <w:rPr>
          <w:rStyle w:val="rynqvb"/>
          <w:rFonts w:ascii="Arial" w:hAnsi="Arial" w:cs="Arial"/>
          <w:i/>
          <w:iCs/>
          <w:sz w:val="20"/>
          <w:szCs w:val="20"/>
        </w:rPr>
        <w:t>Namun</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literatur</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ilmiah</w:t>
      </w:r>
      <w:proofErr w:type="spellEnd"/>
      <w:r w:rsidRPr="007653D5">
        <w:rPr>
          <w:rStyle w:val="rynqvb"/>
          <w:rFonts w:ascii="Arial" w:hAnsi="Arial" w:cs="Arial"/>
          <w:i/>
          <w:iCs/>
          <w:sz w:val="20"/>
          <w:szCs w:val="20"/>
        </w:rPr>
        <w:t xml:space="preserve"> yang </w:t>
      </w:r>
      <w:proofErr w:type="spellStart"/>
      <w:r w:rsidRPr="007653D5">
        <w:rPr>
          <w:rStyle w:val="rynqvb"/>
          <w:rFonts w:ascii="Arial" w:hAnsi="Arial" w:cs="Arial"/>
          <w:i/>
          <w:iCs/>
          <w:sz w:val="20"/>
          <w:szCs w:val="20"/>
        </w:rPr>
        <w:t>membahas</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transformasi</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ini</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masih</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terfragmentasi</w:t>
      </w:r>
      <w:proofErr w:type="spellEnd"/>
      <w:r w:rsidRPr="007653D5">
        <w:rPr>
          <w:rStyle w:val="rynqvb"/>
          <w:rFonts w:ascii="Arial" w:hAnsi="Arial" w:cs="Arial"/>
          <w:i/>
          <w:iCs/>
          <w:sz w:val="20"/>
          <w:szCs w:val="20"/>
        </w:rPr>
        <w:t xml:space="preserve"> di </w:t>
      </w:r>
      <w:proofErr w:type="spellStart"/>
      <w:r w:rsidRPr="007653D5">
        <w:rPr>
          <w:rStyle w:val="rynqvb"/>
          <w:rFonts w:ascii="Arial" w:hAnsi="Arial" w:cs="Arial"/>
          <w:i/>
          <w:iCs/>
          <w:sz w:val="20"/>
          <w:szCs w:val="20"/>
        </w:rPr>
        <w:t>berbagai</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disiplin</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ilmu</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jenis</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teknologi</w:t>
      </w:r>
      <w:proofErr w:type="spellEnd"/>
      <w:r w:rsidRPr="007653D5">
        <w:rPr>
          <w:rStyle w:val="rynqvb"/>
          <w:rFonts w:ascii="Arial" w:hAnsi="Arial" w:cs="Arial"/>
          <w:i/>
          <w:iCs/>
          <w:sz w:val="20"/>
          <w:szCs w:val="20"/>
        </w:rPr>
        <w:t xml:space="preserve">, dan </w:t>
      </w:r>
      <w:proofErr w:type="spellStart"/>
      <w:r w:rsidRPr="007653D5">
        <w:rPr>
          <w:rStyle w:val="rynqvb"/>
          <w:rFonts w:ascii="Arial" w:hAnsi="Arial" w:cs="Arial"/>
          <w:i/>
          <w:iCs/>
          <w:sz w:val="20"/>
          <w:szCs w:val="20"/>
        </w:rPr>
        <w:t>konteks</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kelembagaan</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Penelitian</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ini</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bertujuan</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untuk</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meninjau</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secara</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sistematis</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tren</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terkini</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serta</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perspektif</w:t>
      </w:r>
      <w:proofErr w:type="spellEnd"/>
      <w:r w:rsidRPr="007653D5">
        <w:rPr>
          <w:rStyle w:val="rynqvb"/>
          <w:rFonts w:ascii="Arial" w:hAnsi="Arial" w:cs="Arial"/>
          <w:i/>
          <w:iCs/>
          <w:sz w:val="20"/>
          <w:szCs w:val="20"/>
        </w:rPr>
        <w:t xml:space="preserve"> masa </w:t>
      </w:r>
      <w:proofErr w:type="spellStart"/>
      <w:r w:rsidRPr="007653D5">
        <w:rPr>
          <w:rStyle w:val="rynqvb"/>
          <w:rFonts w:ascii="Arial" w:hAnsi="Arial" w:cs="Arial"/>
          <w:i/>
          <w:iCs/>
          <w:sz w:val="20"/>
          <w:szCs w:val="20"/>
        </w:rPr>
        <w:t>depan</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pembelajaran</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berbasis</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teknologi</w:t>
      </w:r>
      <w:proofErr w:type="spellEnd"/>
      <w:r w:rsidRPr="007653D5">
        <w:rPr>
          <w:rStyle w:val="rynqvb"/>
          <w:rFonts w:ascii="Arial" w:hAnsi="Arial" w:cs="Arial"/>
          <w:i/>
          <w:iCs/>
          <w:sz w:val="20"/>
          <w:szCs w:val="20"/>
        </w:rPr>
        <w:t xml:space="preserve"> di </w:t>
      </w:r>
      <w:proofErr w:type="spellStart"/>
      <w:r w:rsidRPr="007653D5">
        <w:rPr>
          <w:rStyle w:val="rynqvb"/>
          <w:rFonts w:ascii="Arial" w:hAnsi="Arial" w:cs="Arial"/>
          <w:i/>
          <w:iCs/>
          <w:sz w:val="20"/>
          <w:szCs w:val="20"/>
        </w:rPr>
        <w:t>pendidikan</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tinggi</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Dengan</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mengikuti</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protokol</w:t>
      </w:r>
      <w:proofErr w:type="spellEnd"/>
      <w:r w:rsidRPr="007653D5">
        <w:rPr>
          <w:rStyle w:val="rynqvb"/>
          <w:rFonts w:ascii="Arial" w:hAnsi="Arial" w:cs="Arial"/>
          <w:i/>
          <w:iCs/>
          <w:sz w:val="20"/>
          <w:szCs w:val="20"/>
        </w:rPr>
        <w:t xml:space="preserve"> PRISMA 2020, </w:t>
      </w:r>
      <w:proofErr w:type="spellStart"/>
      <w:r w:rsidRPr="007653D5">
        <w:rPr>
          <w:rStyle w:val="rynqvb"/>
          <w:rFonts w:ascii="Arial" w:hAnsi="Arial" w:cs="Arial"/>
          <w:i/>
          <w:iCs/>
          <w:sz w:val="20"/>
          <w:szCs w:val="20"/>
        </w:rPr>
        <w:t>pencarian</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terstruktur</w:t>
      </w:r>
      <w:proofErr w:type="spellEnd"/>
      <w:r w:rsidRPr="007653D5">
        <w:rPr>
          <w:rStyle w:val="rynqvb"/>
          <w:rFonts w:ascii="Arial" w:hAnsi="Arial" w:cs="Arial"/>
          <w:i/>
          <w:iCs/>
          <w:sz w:val="20"/>
          <w:szCs w:val="20"/>
        </w:rPr>
        <w:t xml:space="preserve"> pada basis data Scopus, Web of Science, dan Google Scholar </w:t>
      </w:r>
      <w:proofErr w:type="spellStart"/>
      <w:r w:rsidRPr="007653D5">
        <w:rPr>
          <w:rStyle w:val="rynqvb"/>
          <w:rFonts w:ascii="Arial" w:hAnsi="Arial" w:cs="Arial"/>
          <w:i/>
          <w:iCs/>
          <w:sz w:val="20"/>
          <w:szCs w:val="20"/>
        </w:rPr>
        <w:t>mengidentifikasi</w:t>
      </w:r>
      <w:proofErr w:type="spellEnd"/>
      <w:r w:rsidRPr="007653D5">
        <w:rPr>
          <w:rStyle w:val="rynqvb"/>
          <w:rFonts w:ascii="Arial" w:hAnsi="Arial" w:cs="Arial"/>
          <w:i/>
          <w:iCs/>
          <w:sz w:val="20"/>
          <w:szCs w:val="20"/>
        </w:rPr>
        <w:t xml:space="preserve"> 246 </w:t>
      </w:r>
      <w:proofErr w:type="spellStart"/>
      <w:r w:rsidRPr="007653D5">
        <w:rPr>
          <w:rStyle w:val="rynqvb"/>
          <w:rFonts w:ascii="Arial" w:hAnsi="Arial" w:cs="Arial"/>
          <w:i/>
          <w:iCs/>
          <w:sz w:val="20"/>
          <w:szCs w:val="20"/>
        </w:rPr>
        <w:t>publikasi</w:t>
      </w:r>
      <w:proofErr w:type="spellEnd"/>
      <w:r w:rsidRPr="007653D5">
        <w:rPr>
          <w:rStyle w:val="rynqvb"/>
          <w:rFonts w:ascii="Arial" w:hAnsi="Arial" w:cs="Arial"/>
          <w:i/>
          <w:iCs/>
          <w:sz w:val="20"/>
          <w:szCs w:val="20"/>
        </w:rPr>
        <w:t xml:space="preserve">, di mana </w:t>
      </w:r>
      <w:proofErr w:type="spellStart"/>
      <w:r w:rsidRPr="007653D5">
        <w:rPr>
          <w:rStyle w:val="rynqvb"/>
          <w:rFonts w:ascii="Arial" w:hAnsi="Arial" w:cs="Arial"/>
          <w:i/>
          <w:iCs/>
          <w:sz w:val="20"/>
          <w:szCs w:val="20"/>
        </w:rPr>
        <w:t>sebanyak</w:t>
      </w:r>
      <w:proofErr w:type="spellEnd"/>
      <w:r w:rsidRPr="007653D5">
        <w:rPr>
          <w:rStyle w:val="rynqvb"/>
          <w:rFonts w:ascii="Arial" w:hAnsi="Arial" w:cs="Arial"/>
          <w:i/>
          <w:iCs/>
          <w:sz w:val="20"/>
          <w:szCs w:val="20"/>
        </w:rPr>
        <w:t xml:space="preserve"> 25 </w:t>
      </w:r>
      <w:proofErr w:type="spellStart"/>
      <w:r w:rsidRPr="007653D5">
        <w:rPr>
          <w:rStyle w:val="rynqvb"/>
          <w:rFonts w:ascii="Arial" w:hAnsi="Arial" w:cs="Arial"/>
          <w:i/>
          <w:iCs/>
          <w:sz w:val="20"/>
          <w:szCs w:val="20"/>
        </w:rPr>
        <w:t>artikel</w:t>
      </w:r>
      <w:proofErr w:type="spellEnd"/>
      <w:r w:rsidRPr="007653D5">
        <w:rPr>
          <w:rStyle w:val="rynqvb"/>
          <w:rFonts w:ascii="Arial" w:hAnsi="Arial" w:cs="Arial"/>
          <w:i/>
          <w:iCs/>
          <w:sz w:val="20"/>
          <w:szCs w:val="20"/>
        </w:rPr>
        <w:t xml:space="preserve"> peer-reviewed yang </w:t>
      </w:r>
      <w:proofErr w:type="spellStart"/>
      <w:r w:rsidRPr="007653D5">
        <w:rPr>
          <w:rStyle w:val="rynqvb"/>
          <w:rFonts w:ascii="Arial" w:hAnsi="Arial" w:cs="Arial"/>
          <w:i/>
          <w:iCs/>
          <w:sz w:val="20"/>
          <w:szCs w:val="20"/>
        </w:rPr>
        <w:t>diterbitkan</w:t>
      </w:r>
      <w:proofErr w:type="spellEnd"/>
      <w:r w:rsidRPr="007653D5">
        <w:rPr>
          <w:rStyle w:val="rynqvb"/>
          <w:rFonts w:ascii="Arial" w:hAnsi="Arial" w:cs="Arial"/>
          <w:i/>
          <w:iCs/>
          <w:sz w:val="20"/>
          <w:szCs w:val="20"/>
        </w:rPr>
        <w:t xml:space="preserve"> pada </w:t>
      </w:r>
      <w:proofErr w:type="spellStart"/>
      <w:r w:rsidRPr="007653D5">
        <w:rPr>
          <w:rStyle w:val="rynqvb"/>
          <w:rFonts w:ascii="Arial" w:hAnsi="Arial" w:cs="Arial"/>
          <w:i/>
          <w:iCs/>
          <w:sz w:val="20"/>
          <w:szCs w:val="20"/>
        </w:rPr>
        <w:t>periode</w:t>
      </w:r>
      <w:proofErr w:type="spellEnd"/>
      <w:r w:rsidRPr="007653D5">
        <w:rPr>
          <w:rStyle w:val="rynqvb"/>
          <w:rFonts w:ascii="Arial" w:hAnsi="Arial" w:cs="Arial"/>
          <w:i/>
          <w:iCs/>
          <w:sz w:val="20"/>
          <w:szCs w:val="20"/>
        </w:rPr>
        <w:t xml:space="preserve"> 2023–2025 </w:t>
      </w:r>
      <w:proofErr w:type="spellStart"/>
      <w:r w:rsidRPr="007653D5">
        <w:rPr>
          <w:rStyle w:val="rynqvb"/>
          <w:rFonts w:ascii="Arial" w:hAnsi="Arial" w:cs="Arial"/>
          <w:i/>
          <w:iCs/>
          <w:sz w:val="20"/>
          <w:szCs w:val="20"/>
        </w:rPr>
        <w:t>memenuhi</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kriteria</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inklusi</w:t>
      </w:r>
      <w:proofErr w:type="spellEnd"/>
      <w:r w:rsidRPr="007653D5">
        <w:rPr>
          <w:rStyle w:val="rynqvb"/>
          <w:rFonts w:ascii="Arial" w:hAnsi="Arial" w:cs="Arial"/>
          <w:i/>
          <w:iCs/>
          <w:sz w:val="20"/>
          <w:szCs w:val="20"/>
        </w:rPr>
        <w:t xml:space="preserve"> dan </w:t>
      </w:r>
      <w:proofErr w:type="spellStart"/>
      <w:r w:rsidRPr="007653D5">
        <w:rPr>
          <w:rStyle w:val="rynqvb"/>
          <w:rFonts w:ascii="Arial" w:hAnsi="Arial" w:cs="Arial"/>
          <w:i/>
          <w:iCs/>
          <w:sz w:val="20"/>
          <w:szCs w:val="20"/>
        </w:rPr>
        <w:t>dianalisis</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menggunakan</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pendekatan</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tematik</w:t>
      </w:r>
      <w:proofErr w:type="spellEnd"/>
      <w:r w:rsidRPr="007653D5">
        <w:rPr>
          <w:rStyle w:val="rynqvb"/>
          <w:rFonts w:ascii="Arial" w:hAnsi="Arial" w:cs="Arial"/>
          <w:i/>
          <w:iCs/>
          <w:sz w:val="20"/>
          <w:szCs w:val="20"/>
        </w:rPr>
        <w:t xml:space="preserve">. Lima </w:t>
      </w:r>
      <w:proofErr w:type="spellStart"/>
      <w:r w:rsidRPr="007653D5">
        <w:rPr>
          <w:rStyle w:val="rynqvb"/>
          <w:rFonts w:ascii="Arial" w:hAnsi="Arial" w:cs="Arial"/>
          <w:i/>
          <w:iCs/>
          <w:sz w:val="20"/>
          <w:szCs w:val="20"/>
        </w:rPr>
        <w:t>tema</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utama</w:t>
      </w:r>
      <w:proofErr w:type="spellEnd"/>
      <w:r w:rsidRPr="007653D5">
        <w:rPr>
          <w:rStyle w:val="rynqvb"/>
          <w:rFonts w:ascii="Arial" w:hAnsi="Arial" w:cs="Arial"/>
          <w:i/>
          <w:iCs/>
          <w:sz w:val="20"/>
          <w:szCs w:val="20"/>
        </w:rPr>
        <w:t xml:space="preserve"> yang </w:t>
      </w:r>
      <w:proofErr w:type="spellStart"/>
      <w:r w:rsidRPr="007653D5">
        <w:rPr>
          <w:rStyle w:val="rynqvb"/>
          <w:rFonts w:ascii="Arial" w:hAnsi="Arial" w:cs="Arial"/>
          <w:i/>
          <w:iCs/>
          <w:sz w:val="20"/>
          <w:szCs w:val="20"/>
        </w:rPr>
        <w:t>muncul</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meliputi</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personalisasi</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berbasis</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kecerdasan</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buatan</w:t>
      </w:r>
      <w:proofErr w:type="spellEnd"/>
      <w:r w:rsidRPr="007653D5">
        <w:rPr>
          <w:rStyle w:val="rynqvb"/>
          <w:rFonts w:ascii="Arial" w:hAnsi="Arial" w:cs="Arial"/>
          <w:i/>
          <w:iCs/>
          <w:sz w:val="20"/>
          <w:szCs w:val="20"/>
        </w:rPr>
        <w:t xml:space="preserve"> (artificial intelligence) dan </w:t>
      </w:r>
      <w:proofErr w:type="spellStart"/>
      <w:r w:rsidRPr="007653D5">
        <w:rPr>
          <w:rStyle w:val="rynqvb"/>
          <w:rFonts w:ascii="Arial" w:hAnsi="Arial" w:cs="Arial"/>
          <w:i/>
          <w:iCs/>
          <w:sz w:val="20"/>
          <w:szCs w:val="20"/>
        </w:rPr>
        <w:t>sistem</w:t>
      </w:r>
      <w:proofErr w:type="spellEnd"/>
      <w:r w:rsidRPr="007653D5">
        <w:rPr>
          <w:rStyle w:val="rynqvb"/>
          <w:rFonts w:ascii="Arial" w:hAnsi="Arial" w:cs="Arial"/>
          <w:i/>
          <w:iCs/>
          <w:sz w:val="20"/>
          <w:szCs w:val="20"/>
        </w:rPr>
        <w:t xml:space="preserve"> tutor </w:t>
      </w:r>
      <w:proofErr w:type="spellStart"/>
      <w:r w:rsidRPr="007653D5">
        <w:rPr>
          <w:rStyle w:val="rynqvb"/>
          <w:rFonts w:ascii="Arial" w:hAnsi="Arial" w:cs="Arial"/>
          <w:i/>
          <w:iCs/>
          <w:sz w:val="20"/>
          <w:szCs w:val="20"/>
        </w:rPr>
        <w:t>cerdas</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realitas</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diperluas</w:t>
      </w:r>
      <w:proofErr w:type="spellEnd"/>
      <w:r w:rsidRPr="007653D5">
        <w:rPr>
          <w:rStyle w:val="rynqvb"/>
          <w:rFonts w:ascii="Arial" w:hAnsi="Arial" w:cs="Arial"/>
          <w:i/>
          <w:iCs/>
          <w:sz w:val="20"/>
          <w:szCs w:val="20"/>
        </w:rPr>
        <w:t xml:space="preserve"> (extended reality) dan </w:t>
      </w:r>
      <w:proofErr w:type="spellStart"/>
      <w:r w:rsidRPr="007653D5">
        <w:rPr>
          <w:rStyle w:val="rynqvb"/>
          <w:rFonts w:ascii="Arial" w:hAnsi="Arial" w:cs="Arial"/>
          <w:i/>
          <w:iCs/>
          <w:sz w:val="20"/>
          <w:szCs w:val="20"/>
        </w:rPr>
        <w:t>simulasi</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imersif</w:t>
      </w:r>
      <w:proofErr w:type="spellEnd"/>
      <w:r w:rsidRPr="007653D5">
        <w:rPr>
          <w:rStyle w:val="rynqvb"/>
          <w:rFonts w:ascii="Arial" w:hAnsi="Arial" w:cs="Arial"/>
          <w:i/>
          <w:iCs/>
          <w:sz w:val="20"/>
          <w:szCs w:val="20"/>
        </w:rPr>
        <w:t xml:space="preserve">, digital twin </w:t>
      </w:r>
      <w:proofErr w:type="spellStart"/>
      <w:r w:rsidRPr="007653D5">
        <w:rPr>
          <w:rStyle w:val="rynqvb"/>
          <w:rFonts w:ascii="Arial" w:hAnsi="Arial" w:cs="Arial"/>
          <w:i/>
          <w:iCs/>
          <w:sz w:val="20"/>
          <w:szCs w:val="20"/>
        </w:rPr>
        <w:t>serta</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pembelajaran</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teknik</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berbasis</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permainan</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transformasi</w:t>
      </w:r>
      <w:proofErr w:type="spellEnd"/>
      <w:r w:rsidRPr="007653D5">
        <w:rPr>
          <w:rStyle w:val="rynqvb"/>
          <w:rFonts w:ascii="Arial" w:hAnsi="Arial" w:cs="Arial"/>
          <w:i/>
          <w:iCs/>
          <w:sz w:val="20"/>
          <w:szCs w:val="20"/>
        </w:rPr>
        <w:t xml:space="preserve"> digital </w:t>
      </w:r>
      <w:proofErr w:type="spellStart"/>
      <w:r w:rsidRPr="007653D5">
        <w:rPr>
          <w:rStyle w:val="rynqvb"/>
          <w:rFonts w:ascii="Arial" w:hAnsi="Arial" w:cs="Arial"/>
          <w:i/>
          <w:iCs/>
          <w:sz w:val="20"/>
          <w:szCs w:val="20"/>
        </w:rPr>
        <w:t>kelembagaan</w:t>
      </w:r>
      <w:proofErr w:type="spellEnd"/>
      <w:r w:rsidRPr="007653D5">
        <w:rPr>
          <w:rStyle w:val="rynqvb"/>
          <w:rFonts w:ascii="Arial" w:hAnsi="Arial" w:cs="Arial"/>
          <w:i/>
          <w:iCs/>
          <w:sz w:val="20"/>
          <w:szCs w:val="20"/>
        </w:rPr>
        <w:t xml:space="preserve"> dan </w:t>
      </w:r>
      <w:proofErr w:type="spellStart"/>
      <w:r w:rsidRPr="007653D5">
        <w:rPr>
          <w:rStyle w:val="rynqvb"/>
          <w:rFonts w:ascii="Arial" w:hAnsi="Arial" w:cs="Arial"/>
          <w:i/>
          <w:iCs/>
          <w:sz w:val="20"/>
          <w:szCs w:val="20"/>
        </w:rPr>
        <w:t>literasi</w:t>
      </w:r>
      <w:proofErr w:type="spellEnd"/>
      <w:r w:rsidRPr="007653D5">
        <w:rPr>
          <w:rStyle w:val="rynqvb"/>
          <w:rFonts w:ascii="Arial" w:hAnsi="Arial" w:cs="Arial"/>
          <w:i/>
          <w:iCs/>
          <w:sz w:val="20"/>
          <w:szCs w:val="20"/>
        </w:rPr>
        <w:t xml:space="preserve"> digital, </w:t>
      </w:r>
      <w:proofErr w:type="spellStart"/>
      <w:r w:rsidRPr="007653D5">
        <w:rPr>
          <w:rStyle w:val="rynqvb"/>
          <w:rFonts w:ascii="Arial" w:hAnsi="Arial" w:cs="Arial"/>
          <w:i/>
          <w:iCs/>
          <w:sz w:val="20"/>
          <w:szCs w:val="20"/>
        </w:rPr>
        <w:t>serta</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kerangka</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penerimaan</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teknologi</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seperti</w:t>
      </w:r>
      <w:proofErr w:type="spellEnd"/>
      <w:r w:rsidRPr="007653D5">
        <w:rPr>
          <w:rStyle w:val="rynqvb"/>
          <w:rFonts w:ascii="Arial" w:hAnsi="Arial" w:cs="Arial"/>
          <w:i/>
          <w:iCs/>
          <w:sz w:val="20"/>
          <w:szCs w:val="20"/>
        </w:rPr>
        <w:t xml:space="preserve"> Unified Theory of Acceptance and Use of Technology (UTAUT). Hasil </w:t>
      </w:r>
      <w:proofErr w:type="spellStart"/>
      <w:r w:rsidRPr="007653D5">
        <w:rPr>
          <w:rStyle w:val="rynqvb"/>
          <w:rFonts w:ascii="Arial" w:hAnsi="Arial" w:cs="Arial"/>
          <w:i/>
          <w:iCs/>
          <w:sz w:val="20"/>
          <w:szCs w:val="20"/>
        </w:rPr>
        <w:t>kajian</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menunjukkan</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bahwa</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pembelajaran</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berbasis</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teknologi</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secara</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konsisten</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meningkatkan</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keterlibatan</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motivasi</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serta</w:t>
      </w:r>
      <w:proofErr w:type="spellEnd"/>
      <w:r w:rsidRPr="007653D5">
        <w:rPr>
          <w:rStyle w:val="rynqvb"/>
          <w:rFonts w:ascii="Arial" w:hAnsi="Arial" w:cs="Arial"/>
          <w:i/>
          <w:iCs/>
          <w:sz w:val="20"/>
          <w:szCs w:val="20"/>
        </w:rPr>
        <w:t xml:space="preserve">, pada </w:t>
      </w:r>
      <w:proofErr w:type="spellStart"/>
      <w:r w:rsidRPr="007653D5">
        <w:rPr>
          <w:rStyle w:val="rynqvb"/>
          <w:rFonts w:ascii="Arial" w:hAnsi="Arial" w:cs="Arial"/>
          <w:i/>
          <w:iCs/>
          <w:sz w:val="20"/>
          <w:szCs w:val="20"/>
        </w:rPr>
        <w:t>sebagian</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besar</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konteks</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hasil</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belajar</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kognitif</w:t>
      </w:r>
      <w:proofErr w:type="spellEnd"/>
      <w:r w:rsidRPr="007653D5">
        <w:rPr>
          <w:rStyle w:val="rynqvb"/>
          <w:rFonts w:ascii="Arial" w:hAnsi="Arial" w:cs="Arial"/>
          <w:i/>
          <w:iCs/>
          <w:sz w:val="20"/>
          <w:szCs w:val="20"/>
        </w:rPr>
        <w:t xml:space="preserve"> dan </w:t>
      </w:r>
      <w:proofErr w:type="spellStart"/>
      <w:r w:rsidRPr="007653D5">
        <w:rPr>
          <w:rStyle w:val="rynqvb"/>
          <w:rFonts w:ascii="Arial" w:hAnsi="Arial" w:cs="Arial"/>
          <w:i/>
          <w:iCs/>
          <w:sz w:val="20"/>
          <w:szCs w:val="20"/>
        </w:rPr>
        <w:t>keterampilan</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Namun</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efektivitasnya</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dipengaruhi</w:t>
      </w:r>
      <w:proofErr w:type="spellEnd"/>
      <w:r w:rsidRPr="007653D5">
        <w:rPr>
          <w:rStyle w:val="rynqvb"/>
          <w:rFonts w:ascii="Arial" w:hAnsi="Arial" w:cs="Arial"/>
          <w:i/>
          <w:iCs/>
          <w:sz w:val="20"/>
          <w:szCs w:val="20"/>
        </w:rPr>
        <w:t xml:space="preserve"> oleh </w:t>
      </w:r>
      <w:proofErr w:type="spellStart"/>
      <w:r w:rsidRPr="007653D5">
        <w:rPr>
          <w:rStyle w:val="rynqvb"/>
          <w:rFonts w:ascii="Arial" w:hAnsi="Arial" w:cs="Arial"/>
          <w:i/>
          <w:iCs/>
          <w:sz w:val="20"/>
          <w:szCs w:val="20"/>
        </w:rPr>
        <w:t>kesiapan</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peserta</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didik</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karakteristik</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disiplin</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ilmu</w:t>
      </w:r>
      <w:proofErr w:type="spellEnd"/>
      <w:r w:rsidRPr="007653D5">
        <w:rPr>
          <w:rStyle w:val="rynqvb"/>
          <w:rFonts w:ascii="Arial" w:hAnsi="Arial" w:cs="Arial"/>
          <w:i/>
          <w:iCs/>
          <w:sz w:val="20"/>
          <w:szCs w:val="20"/>
        </w:rPr>
        <w:t xml:space="preserve">, dan </w:t>
      </w:r>
      <w:proofErr w:type="spellStart"/>
      <w:r w:rsidRPr="007653D5">
        <w:rPr>
          <w:rStyle w:val="rynqvb"/>
          <w:rFonts w:ascii="Arial" w:hAnsi="Arial" w:cs="Arial"/>
          <w:i/>
          <w:iCs/>
          <w:sz w:val="20"/>
          <w:szCs w:val="20"/>
        </w:rPr>
        <w:t>infrastruktur</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institusi</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Kesenjangan</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penelitian</w:t>
      </w:r>
      <w:proofErr w:type="spellEnd"/>
      <w:r w:rsidRPr="007653D5">
        <w:rPr>
          <w:rStyle w:val="rynqvb"/>
          <w:rFonts w:ascii="Arial" w:hAnsi="Arial" w:cs="Arial"/>
          <w:i/>
          <w:iCs/>
          <w:sz w:val="20"/>
          <w:szCs w:val="20"/>
        </w:rPr>
        <w:t xml:space="preserve"> yang </w:t>
      </w:r>
      <w:proofErr w:type="spellStart"/>
      <w:r w:rsidRPr="007653D5">
        <w:rPr>
          <w:rStyle w:val="rynqvb"/>
          <w:rFonts w:ascii="Arial" w:hAnsi="Arial" w:cs="Arial"/>
          <w:i/>
          <w:iCs/>
          <w:sz w:val="20"/>
          <w:szCs w:val="20"/>
        </w:rPr>
        <w:t>masih</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ada</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meliputi</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terbatasnya</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bukti</w:t>
      </w:r>
      <w:proofErr w:type="spellEnd"/>
      <w:r w:rsidRPr="007653D5">
        <w:rPr>
          <w:rStyle w:val="rynqvb"/>
          <w:rFonts w:ascii="Arial" w:hAnsi="Arial" w:cs="Arial"/>
          <w:i/>
          <w:iCs/>
          <w:sz w:val="20"/>
          <w:szCs w:val="20"/>
        </w:rPr>
        <w:t xml:space="preserve"> longitudinal, </w:t>
      </w:r>
      <w:proofErr w:type="spellStart"/>
      <w:r w:rsidRPr="007653D5">
        <w:rPr>
          <w:rStyle w:val="rynqvb"/>
          <w:rFonts w:ascii="Arial" w:hAnsi="Arial" w:cs="Arial"/>
          <w:i/>
          <w:iCs/>
          <w:sz w:val="20"/>
          <w:szCs w:val="20"/>
        </w:rPr>
        <w:t>belum</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meratanya</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perhatian</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terhadap</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kesetaraan</w:t>
      </w:r>
      <w:proofErr w:type="spellEnd"/>
      <w:r w:rsidRPr="007653D5">
        <w:rPr>
          <w:rStyle w:val="rynqvb"/>
          <w:rFonts w:ascii="Arial" w:hAnsi="Arial" w:cs="Arial"/>
          <w:i/>
          <w:iCs/>
          <w:sz w:val="20"/>
          <w:szCs w:val="20"/>
        </w:rPr>
        <w:t xml:space="preserve"> digital, </w:t>
      </w:r>
      <w:proofErr w:type="spellStart"/>
      <w:r w:rsidRPr="007653D5">
        <w:rPr>
          <w:rStyle w:val="rynqvb"/>
          <w:rFonts w:ascii="Arial" w:hAnsi="Arial" w:cs="Arial"/>
          <w:i/>
          <w:iCs/>
          <w:sz w:val="20"/>
          <w:szCs w:val="20"/>
        </w:rPr>
        <w:t>serta</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minimnya</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kajian</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mengenai</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implikasi</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etis</w:t>
      </w:r>
      <w:proofErr w:type="spellEnd"/>
      <w:r w:rsidRPr="007653D5">
        <w:rPr>
          <w:rStyle w:val="rynqvb"/>
          <w:rFonts w:ascii="Arial" w:hAnsi="Arial" w:cs="Arial"/>
          <w:i/>
          <w:iCs/>
          <w:sz w:val="20"/>
          <w:szCs w:val="20"/>
        </w:rPr>
        <w:t xml:space="preserve"> dan </w:t>
      </w:r>
      <w:proofErr w:type="spellStart"/>
      <w:r w:rsidRPr="007653D5">
        <w:rPr>
          <w:rStyle w:val="rynqvb"/>
          <w:rFonts w:ascii="Arial" w:hAnsi="Arial" w:cs="Arial"/>
          <w:i/>
          <w:iCs/>
          <w:sz w:val="20"/>
          <w:szCs w:val="20"/>
        </w:rPr>
        <w:t>pedagogis</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dari</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kecerdasan</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buatan</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generatif</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Tinjauan</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ini</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menawarkan</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kerangka</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terpadu</w:t>
      </w:r>
      <w:proofErr w:type="spellEnd"/>
      <w:r w:rsidRPr="007653D5">
        <w:rPr>
          <w:rStyle w:val="rynqvb"/>
          <w:rFonts w:ascii="Arial" w:hAnsi="Arial" w:cs="Arial"/>
          <w:i/>
          <w:iCs/>
          <w:sz w:val="20"/>
          <w:szCs w:val="20"/>
        </w:rPr>
        <w:t xml:space="preserve"> yang </w:t>
      </w:r>
      <w:proofErr w:type="spellStart"/>
      <w:r w:rsidRPr="007653D5">
        <w:rPr>
          <w:rStyle w:val="rynqvb"/>
          <w:rFonts w:ascii="Arial" w:hAnsi="Arial" w:cs="Arial"/>
          <w:i/>
          <w:iCs/>
          <w:sz w:val="20"/>
          <w:szCs w:val="20"/>
        </w:rPr>
        <w:t>menghubungkan</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dimensi</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teknologi</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pedagogi</w:t>
      </w:r>
      <w:proofErr w:type="spellEnd"/>
      <w:r w:rsidRPr="007653D5">
        <w:rPr>
          <w:rStyle w:val="rynqvb"/>
          <w:rFonts w:ascii="Arial" w:hAnsi="Arial" w:cs="Arial"/>
          <w:i/>
          <w:iCs/>
          <w:sz w:val="20"/>
          <w:szCs w:val="20"/>
        </w:rPr>
        <w:t xml:space="preserve">, dan </w:t>
      </w:r>
      <w:proofErr w:type="spellStart"/>
      <w:r w:rsidRPr="007653D5">
        <w:rPr>
          <w:rStyle w:val="rynqvb"/>
          <w:rFonts w:ascii="Arial" w:hAnsi="Arial" w:cs="Arial"/>
          <w:i/>
          <w:iCs/>
          <w:sz w:val="20"/>
          <w:szCs w:val="20"/>
        </w:rPr>
        <w:t>kelembagaan</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dalam</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transformasi</w:t>
      </w:r>
      <w:proofErr w:type="spellEnd"/>
      <w:r w:rsidRPr="007653D5">
        <w:rPr>
          <w:rStyle w:val="rynqvb"/>
          <w:rFonts w:ascii="Arial" w:hAnsi="Arial" w:cs="Arial"/>
          <w:i/>
          <w:iCs/>
          <w:sz w:val="20"/>
          <w:szCs w:val="20"/>
        </w:rPr>
        <w:t xml:space="preserve"> digital, </w:t>
      </w:r>
      <w:proofErr w:type="spellStart"/>
      <w:r w:rsidRPr="007653D5">
        <w:rPr>
          <w:rStyle w:val="rynqvb"/>
          <w:rFonts w:ascii="Arial" w:hAnsi="Arial" w:cs="Arial"/>
          <w:i/>
          <w:iCs/>
          <w:sz w:val="20"/>
          <w:szCs w:val="20"/>
        </w:rPr>
        <w:t>sekaligus</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menyusun</w:t>
      </w:r>
      <w:proofErr w:type="spellEnd"/>
      <w:r w:rsidRPr="007653D5">
        <w:rPr>
          <w:rStyle w:val="rynqvb"/>
          <w:rFonts w:ascii="Arial" w:hAnsi="Arial" w:cs="Arial"/>
          <w:i/>
          <w:iCs/>
          <w:sz w:val="20"/>
          <w:szCs w:val="20"/>
        </w:rPr>
        <w:t xml:space="preserve"> agenda </w:t>
      </w:r>
      <w:proofErr w:type="spellStart"/>
      <w:r w:rsidRPr="007653D5">
        <w:rPr>
          <w:rStyle w:val="rynqvb"/>
          <w:rFonts w:ascii="Arial" w:hAnsi="Arial" w:cs="Arial"/>
          <w:i/>
          <w:iCs/>
          <w:sz w:val="20"/>
          <w:szCs w:val="20"/>
        </w:rPr>
        <w:t>penelitian</w:t>
      </w:r>
      <w:proofErr w:type="spellEnd"/>
      <w:r w:rsidRPr="007653D5">
        <w:rPr>
          <w:rStyle w:val="rynqvb"/>
          <w:rFonts w:ascii="Arial" w:hAnsi="Arial" w:cs="Arial"/>
          <w:i/>
          <w:iCs/>
          <w:sz w:val="20"/>
          <w:szCs w:val="20"/>
        </w:rPr>
        <w:t xml:space="preserve"> dan </w:t>
      </w:r>
      <w:proofErr w:type="spellStart"/>
      <w:r w:rsidRPr="007653D5">
        <w:rPr>
          <w:rStyle w:val="rynqvb"/>
          <w:rFonts w:ascii="Arial" w:hAnsi="Arial" w:cs="Arial"/>
          <w:i/>
          <w:iCs/>
          <w:sz w:val="20"/>
          <w:szCs w:val="20"/>
        </w:rPr>
        <w:t>kebijakan</w:t>
      </w:r>
      <w:proofErr w:type="spellEnd"/>
      <w:r w:rsidRPr="007653D5">
        <w:rPr>
          <w:rStyle w:val="rynqvb"/>
          <w:rFonts w:ascii="Arial" w:hAnsi="Arial" w:cs="Arial"/>
          <w:i/>
          <w:iCs/>
          <w:sz w:val="20"/>
          <w:szCs w:val="20"/>
        </w:rPr>
        <w:t xml:space="preserve"> di masa </w:t>
      </w:r>
      <w:proofErr w:type="spellStart"/>
      <w:r w:rsidRPr="007653D5">
        <w:rPr>
          <w:rStyle w:val="rynqvb"/>
          <w:rFonts w:ascii="Arial" w:hAnsi="Arial" w:cs="Arial"/>
          <w:i/>
          <w:iCs/>
          <w:sz w:val="20"/>
          <w:szCs w:val="20"/>
        </w:rPr>
        <w:t>depan</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untuk</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mendukung</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integrasi</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teknologi</w:t>
      </w:r>
      <w:proofErr w:type="spellEnd"/>
      <w:r w:rsidRPr="007653D5">
        <w:rPr>
          <w:rStyle w:val="rynqvb"/>
          <w:rFonts w:ascii="Arial" w:hAnsi="Arial" w:cs="Arial"/>
          <w:i/>
          <w:iCs/>
          <w:sz w:val="20"/>
          <w:szCs w:val="20"/>
        </w:rPr>
        <w:t xml:space="preserve"> yang </w:t>
      </w:r>
      <w:proofErr w:type="spellStart"/>
      <w:r w:rsidRPr="007653D5">
        <w:rPr>
          <w:rStyle w:val="rynqvb"/>
          <w:rFonts w:ascii="Arial" w:hAnsi="Arial" w:cs="Arial"/>
          <w:i/>
          <w:iCs/>
          <w:sz w:val="20"/>
          <w:szCs w:val="20"/>
        </w:rPr>
        <w:t>berkelanjutan</w:t>
      </w:r>
      <w:proofErr w:type="spellEnd"/>
      <w:r w:rsidRPr="007653D5">
        <w:rPr>
          <w:rStyle w:val="rynqvb"/>
          <w:rFonts w:ascii="Arial" w:hAnsi="Arial" w:cs="Arial"/>
          <w:i/>
          <w:iCs/>
          <w:sz w:val="20"/>
          <w:szCs w:val="20"/>
        </w:rPr>
        <w:t xml:space="preserve"> dan </w:t>
      </w:r>
      <w:proofErr w:type="spellStart"/>
      <w:r w:rsidRPr="007653D5">
        <w:rPr>
          <w:rStyle w:val="rynqvb"/>
          <w:rFonts w:ascii="Arial" w:hAnsi="Arial" w:cs="Arial"/>
          <w:i/>
          <w:iCs/>
          <w:sz w:val="20"/>
          <w:szCs w:val="20"/>
        </w:rPr>
        <w:t>berkeadilan</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dalam</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pendidikan</w:t>
      </w:r>
      <w:proofErr w:type="spellEnd"/>
      <w:r w:rsidRPr="007653D5">
        <w:rPr>
          <w:rStyle w:val="rynqvb"/>
          <w:rFonts w:ascii="Arial" w:hAnsi="Arial" w:cs="Arial"/>
          <w:i/>
          <w:iCs/>
          <w:sz w:val="20"/>
          <w:szCs w:val="20"/>
        </w:rPr>
        <w:t xml:space="preserve"> </w:t>
      </w:r>
      <w:proofErr w:type="spellStart"/>
      <w:r w:rsidRPr="007653D5">
        <w:rPr>
          <w:rStyle w:val="rynqvb"/>
          <w:rFonts w:ascii="Arial" w:hAnsi="Arial" w:cs="Arial"/>
          <w:i/>
          <w:iCs/>
          <w:sz w:val="20"/>
          <w:szCs w:val="20"/>
        </w:rPr>
        <w:t>tinggi</w:t>
      </w:r>
      <w:proofErr w:type="spellEnd"/>
      <w:r w:rsidRPr="007653D5">
        <w:rPr>
          <w:rStyle w:val="rynqvb"/>
          <w:rFonts w:ascii="Arial" w:hAnsi="Arial" w:cs="Arial"/>
          <w:i/>
          <w:iCs/>
          <w:sz w:val="20"/>
          <w:szCs w:val="20"/>
        </w:rPr>
        <w:t>.</w:t>
      </w:r>
    </w:p>
    <w:p w14:paraId="5AE1E9EF" w14:textId="77777777" w:rsidR="008A1F7F" w:rsidRDefault="008A1F7F" w:rsidP="000066B1">
      <w:pPr>
        <w:jc w:val="both"/>
        <w:rPr>
          <w:rFonts w:ascii="Arial" w:eastAsia="Times New Roman" w:hAnsi="Arial" w:cs="Arial"/>
          <w:i/>
          <w:iCs/>
          <w:sz w:val="20"/>
          <w:szCs w:val="20"/>
          <w:lang w:val="id-ID"/>
        </w:rPr>
      </w:pPr>
    </w:p>
    <w:p w14:paraId="27D85330" w14:textId="77777777" w:rsidR="000066B1" w:rsidRPr="00947D41" w:rsidRDefault="000066B1" w:rsidP="000066B1">
      <w:pPr>
        <w:pBdr>
          <w:bottom w:val="single" w:sz="4" w:space="1" w:color="auto"/>
        </w:pBdr>
        <w:rPr>
          <w:rFonts w:ascii="Cambria" w:eastAsia="Times New Roman" w:hAnsi="Cambria" w:cs="AdvOTc4d0b532"/>
          <w:b/>
          <w:sz w:val="18"/>
          <w:szCs w:val="18"/>
        </w:rPr>
      </w:pPr>
      <w:r w:rsidRPr="00947D41">
        <w:rPr>
          <w:rFonts w:ascii="Cambria" w:eastAsia="Times New Roman" w:hAnsi="Cambria" w:cs="AdvOTc4d0b532"/>
          <w:b/>
          <w:sz w:val="18"/>
          <w:szCs w:val="18"/>
        </w:rPr>
        <w:t>A B S T R A C T</w:t>
      </w:r>
    </w:p>
    <w:p w14:paraId="30FC185A" w14:textId="3EF0D003" w:rsidR="00B651C6" w:rsidRPr="007A5C2E" w:rsidRDefault="007653D5" w:rsidP="001D1044">
      <w:pPr>
        <w:jc w:val="both"/>
        <w:rPr>
          <w:rFonts w:ascii="Cambria" w:hAnsi="Cambria" w:cs="Arial"/>
          <w:b/>
          <w:sz w:val="22"/>
          <w:szCs w:val="22"/>
          <w:lang w:eastAsia="ja-JP"/>
        </w:rPr>
      </w:pPr>
      <w:r w:rsidRPr="007653D5">
        <w:rPr>
          <w:rFonts w:ascii="Arial" w:hAnsi="Arial" w:cs="Arial"/>
          <w:bCs/>
          <w:iCs/>
          <w:color w:val="000000"/>
          <w:sz w:val="20"/>
          <w:lang w:val="en-AU"/>
        </w:rPr>
        <w:t xml:space="preserve">The rapid diffusion of digital technologies has reshaped teaching and learning practices in universities worldwide, yet the scholarly literature on this transformation remains fragmented across disciplines, technologies, and institutional contexts. This study systematically reviews current trends and future perspectives of technology-based learning in higher education. Following the PRISMA 2020 protocol, a structured search across Scopus, Web of Science, and Google Scholar identified 246 records, of which 25 peer-reviewed articles published between 2023 and 2025 met the inclusion criteria and were </w:t>
      </w:r>
      <w:proofErr w:type="spellStart"/>
      <w:r w:rsidRPr="007653D5">
        <w:rPr>
          <w:rFonts w:ascii="Arial" w:hAnsi="Arial" w:cs="Arial"/>
          <w:bCs/>
          <w:iCs/>
          <w:color w:val="000000"/>
          <w:sz w:val="20"/>
          <w:lang w:val="en-AU"/>
        </w:rPr>
        <w:t>analyzed</w:t>
      </w:r>
      <w:proofErr w:type="spellEnd"/>
      <w:r w:rsidRPr="007653D5">
        <w:rPr>
          <w:rFonts w:ascii="Arial" w:hAnsi="Arial" w:cs="Arial"/>
          <w:bCs/>
          <w:iCs/>
          <w:color w:val="000000"/>
          <w:sz w:val="20"/>
          <w:lang w:val="en-AU"/>
        </w:rPr>
        <w:t xml:space="preserve"> thematically. Five dominant themes emerged: artificial intelligence-driven personalization and intelligent tutoring, extended reality and immersive simulation, digital-twin and game-based engineering education, institutional digital transformation and digital literacy, and technology-acceptance frameworks such as UTAUT. The findings indicate that technology-based learning consistently improves engagement, motivation, and, in most contexts, cognitive and skill-based outcomes, although effectiveness is moderated by learner readiness, disciplinary context, and institutional infrastructure. Persistent gaps include limited longitudinal evidence, uneven digital-equity considerations, and underexplored ethical and pedagogical implications of generative artificial intelligence. The review offers an integrated framework linking technological, pedagogical, and institutional dimensions of digital transformation and outlines an agenda for future research and policy on sustainable, equitable technology integration in higher education</w:t>
      </w:r>
      <w:r w:rsidR="00786037" w:rsidRPr="007A5C2E">
        <w:rPr>
          <w:rFonts w:ascii="Arial" w:hAnsi="Arial" w:cs="Arial"/>
          <w:bCs/>
          <w:color w:val="000000"/>
          <w:sz w:val="20"/>
          <w:lang w:val="en"/>
        </w:rPr>
        <w:t>.</w:t>
      </w:r>
    </w:p>
    <w:p w14:paraId="523F0C36" w14:textId="77777777" w:rsidR="00E711A7" w:rsidRPr="00E711A7" w:rsidRDefault="00E711A7" w:rsidP="00E711A7">
      <w:pPr>
        <w:pBdr>
          <w:bottom w:val="single" w:sz="4" w:space="1" w:color="auto"/>
        </w:pBdr>
        <w:rPr>
          <w:rFonts w:ascii="Cambria" w:eastAsia="Times New Roman" w:hAnsi="Cambria" w:cs="AdvOTc4d0b532"/>
          <w:b/>
          <w:sz w:val="4"/>
          <w:szCs w:val="8"/>
        </w:rPr>
      </w:pPr>
    </w:p>
    <w:p w14:paraId="57C45373" w14:textId="77777777" w:rsidR="00B651C6" w:rsidRPr="009A5170" w:rsidRDefault="00B651C6" w:rsidP="00F563CF">
      <w:pPr>
        <w:rPr>
          <w:rFonts w:ascii="Cambria" w:hAnsi="Cambria" w:cs="Arial"/>
          <w:b/>
          <w:sz w:val="22"/>
          <w:szCs w:val="22"/>
          <w:lang w:eastAsia="ja-JP"/>
        </w:rPr>
        <w:sectPr w:rsidR="00B651C6" w:rsidRPr="009A5170" w:rsidSect="003977DB">
          <w:headerReference w:type="even" r:id="rId11"/>
          <w:headerReference w:type="default" r:id="rId12"/>
          <w:footerReference w:type="default" r:id="rId13"/>
          <w:headerReference w:type="first" r:id="rId14"/>
          <w:footerReference w:type="first" r:id="rId15"/>
          <w:footnotePr>
            <w:numFmt w:val="chicago"/>
          </w:footnotePr>
          <w:type w:val="continuous"/>
          <w:pgSz w:w="11907" w:h="16839" w:code="9"/>
          <w:pgMar w:top="1701" w:right="1418" w:bottom="1418" w:left="1418" w:header="720" w:footer="720" w:gutter="0"/>
          <w:pgNumType w:start="1"/>
          <w:cols w:space="709"/>
          <w:titlePg/>
          <w:docGrid w:linePitch="360"/>
        </w:sectPr>
      </w:pPr>
    </w:p>
    <w:p w14:paraId="21C248D5" w14:textId="3CBED55D" w:rsidR="003F0923" w:rsidRDefault="003F0923" w:rsidP="006A2A40">
      <w:pPr>
        <w:pStyle w:val="ListParagraph"/>
        <w:spacing w:after="120"/>
        <w:ind w:left="0"/>
        <w:rPr>
          <w:rFonts w:ascii="Cambria" w:hAnsi="Cambria" w:cs="Arial"/>
          <w:b/>
          <w:sz w:val="20"/>
          <w:szCs w:val="20"/>
          <w:lang w:eastAsia="ja-JP"/>
        </w:rPr>
      </w:pPr>
    </w:p>
    <w:p w14:paraId="20801FC8" w14:textId="77777777" w:rsidR="00E5598A" w:rsidRDefault="00E5598A" w:rsidP="006A2A40">
      <w:pPr>
        <w:pStyle w:val="ListParagraph"/>
        <w:spacing w:after="120"/>
        <w:ind w:left="0"/>
        <w:rPr>
          <w:rFonts w:ascii="Cambria" w:hAnsi="Cambria" w:cs="Arial"/>
          <w:b/>
          <w:sz w:val="20"/>
          <w:szCs w:val="20"/>
          <w:lang w:eastAsia="ja-JP"/>
        </w:rPr>
      </w:pPr>
    </w:p>
    <w:p w14:paraId="3570D5FE" w14:textId="77777777" w:rsidR="000C5365" w:rsidRPr="004857A9" w:rsidRDefault="00E711A7" w:rsidP="00390630">
      <w:pPr>
        <w:pStyle w:val="ListParagraph"/>
        <w:numPr>
          <w:ilvl w:val="0"/>
          <w:numId w:val="1"/>
        </w:numPr>
        <w:spacing w:line="360" w:lineRule="auto"/>
        <w:ind w:left="284" w:hanging="284"/>
        <w:rPr>
          <w:rFonts w:ascii="Cambria" w:hAnsi="Cambria" w:cs="Arial"/>
          <w:b/>
          <w:sz w:val="20"/>
          <w:szCs w:val="20"/>
          <w:lang w:eastAsia="ja-JP"/>
        </w:rPr>
      </w:pPr>
      <w:r w:rsidRPr="004857A9">
        <w:rPr>
          <w:rFonts w:ascii="Cambria" w:hAnsi="Cambria" w:cs="Arial"/>
          <w:b/>
          <w:sz w:val="20"/>
          <w:szCs w:val="20"/>
          <w:lang w:val="en-US" w:eastAsia="ja-JP"/>
        </w:rPr>
        <w:t>INTRODUCTION</w:t>
      </w:r>
    </w:p>
    <w:p w14:paraId="57596E6D" w14:textId="77777777" w:rsidR="00A14FC2" w:rsidRPr="007653D5" w:rsidRDefault="00A14FC2" w:rsidP="00A14FC2">
      <w:pPr>
        <w:pStyle w:val="NormalWeb"/>
        <w:spacing w:before="0" w:beforeAutospacing="0" w:after="0" w:afterAutospacing="0"/>
        <w:ind w:firstLine="720"/>
        <w:jc w:val="both"/>
        <w:rPr>
          <w:rFonts w:ascii="Cambria" w:hAnsi="Cambria"/>
          <w:sz w:val="20"/>
          <w:szCs w:val="20"/>
        </w:rPr>
      </w:pPr>
      <w:r>
        <w:rPr>
          <w:rFonts w:ascii="Cambria" w:hAnsi="Cambria"/>
          <w:sz w:val="20"/>
          <w:szCs w:val="20"/>
        </w:rPr>
        <w:t>Higher education institutions worldwide are undergoing a profound digital transformation, driven by the convergence of artificial intelligence (AI), extended reality (XR), cloud-based learning platforms, and data-driven pedagogical models. What began, for many institutions, as an emergency shift to remote instruction during the COVID-19 pandemic has evolved into a sustained reconfiguration of how knowledge is produced, delivered, and assessed (Otto et al., 2023). Universities now routinely combine learning management systems, adaptive learning software, immersive simulations, and generative AI tools within a single course, reflecting a broader shift from technology as an auxiliary resource to technology as a structural condition of contemporary higher education (Farias-Gaytan et al., 2023). This shift raises urgent questions about how effectively these tools support learning, which student populations benefit most, and what institutional capacities are required to sustain innovation responsibly.</w:t>
      </w:r>
    </w:p>
    <w:p w14:paraId="1CEE3E04" w14:textId="4B3D5D58" w:rsidR="00A14FC2" w:rsidRPr="007653D5" w:rsidRDefault="00A14FC2" w:rsidP="00A14FC2">
      <w:pPr>
        <w:pStyle w:val="NormalWeb"/>
        <w:spacing w:before="0" w:beforeAutospacing="0" w:after="0" w:afterAutospacing="0"/>
        <w:ind w:firstLine="720"/>
        <w:jc w:val="both"/>
        <w:rPr>
          <w:rFonts w:ascii="Cambria" w:hAnsi="Cambria"/>
          <w:sz w:val="20"/>
          <w:szCs w:val="20"/>
        </w:rPr>
      </w:pPr>
      <w:r>
        <w:rPr>
          <w:rFonts w:ascii="Cambria" w:hAnsi="Cambria"/>
          <w:sz w:val="20"/>
          <w:szCs w:val="20"/>
        </w:rPr>
        <w:t>The scale of this transformation is considerable. Digital learning tools are no longer confined to online or distance-education programs; they are embedded in campus-based instruction across engineering, medicine, language education, business, and the social sciences (Zou et al., 2025). Artificial intelligence, in particular, has moved from a peripheral topic to a central concern of higher-education research, with applications ranging from intelligent tutoring systems and automated feedback to large language model-based writing assistants (Feng et al., 2025). At the same time, extended reality technologies, including augmented reality (AR) and virtual reality (VR), have matured from novelty demonstrations into tools capable of supporting complex skill training in fields such as surgery, nursing, and engineering, where hands-on practice is costly or risky to replicate at scale (Lampropoulos, 2025; Lázaro &amp; Duart, 2023). Digital-twin technology, which creates dynamic virtual replicas of physical systems, has similarly begun to reshape engineering and vocational education by allowing students to experiment with equipment and processes that would otherwise be inaccessible or hazardous (Hazrat et al., 2023). Complementing these technological developments, game-based and simulation-based learning environments continue to demonstrate value for procedural and systems-level understanding in engineering curricula (Udeozor et al., 2023).</w:t>
      </w:r>
    </w:p>
    <w:p w14:paraId="7ACDE0F0" w14:textId="77777777" w:rsidR="00A14FC2" w:rsidRPr="007653D5" w:rsidRDefault="00A14FC2" w:rsidP="00A14FC2">
      <w:pPr>
        <w:pStyle w:val="NormalWeb"/>
        <w:spacing w:before="0" w:beforeAutospacing="0" w:after="0" w:afterAutospacing="0"/>
        <w:ind w:firstLine="720"/>
        <w:jc w:val="both"/>
        <w:rPr>
          <w:rFonts w:ascii="Cambria" w:hAnsi="Cambria"/>
          <w:sz w:val="20"/>
          <w:szCs w:val="20"/>
        </w:rPr>
      </w:pPr>
      <w:r>
        <w:rPr>
          <w:rFonts w:ascii="Cambria" w:hAnsi="Cambria"/>
          <w:sz w:val="20"/>
          <w:szCs w:val="20"/>
        </w:rPr>
        <w:t>Despite this proliferation of tools, the higher-education literature on technology-based learning remains conceptually and empirically fragmented. Several strands of research have developed largely in parallel. One strand emphasizes institutional and policy dimensions of digital transformation, examining how universities restructure governance, infrastructure, and staff development to accommodate new technologies (</w:t>
      </w:r>
      <w:proofErr w:type="spellStart"/>
      <w:r>
        <w:rPr>
          <w:rFonts w:ascii="Cambria" w:hAnsi="Cambria"/>
          <w:sz w:val="20"/>
          <w:szCs w:val="20"/>
        </w:rPr>
        <w:t>Alenezi</w:t>
      </w:r>
      <w:proofErr w:type="spellEnd"/>
      <w:r>
        <w:rPr>
          <w:rFonts w:ascii="Cambria" w:hAnsi="Cambria"/>
          <w:sz w:val="20"/>
          <w:szCs w:val="20"/>
        </w:rPr>
        <w:t xml:space="preserve"> et al., 2023; Samanta &amp; Banerjee, 2025). A second strand focuses on discipline-specific applications, such as AI in medical education (Mir et al., 2023) or technology-enhanced language learning (Hasumi &amp; Chiu, 2024), often without connecting findings to broader theoretical frameworks. A third strand draws on technology-acceptance theories, most notably the Unified Theory of Acceptance and Use of Technology (UTAUT), to explain why students and faculty adopt or resist particular tools (Xue et al., 2024). A fourth, rapidly growing strand addresses generative AI specifically, examining both its instructional promise and its implications for academic integrity, critical thinking, and assessment design (Aithal et al., 2024; </w:t>
      </w:r>
      <w:proofErr w:type="spellStart"/>
      <w:r>
        <w:rPr>
          <w:rFonts w:ascii="Cambria" w:hAnsi="Cambria"/>
          <w:sz w:val="20"/>
          <w:szCs w:val="20"/>
        </w:rPr>
        <w:t>Almufarreh</w:t>
      </w:r>
      <w:proofErr w:type="spellEnd"/>
      <w:r>
        <w:rPr>
          <w:rFonts w:ascii="Cambria" w:hAnsi="Cambria"/>
          <w:sz w:val="20"/>
          <w:szCs w:val="20"/>
        </w:rPr>
        <w:t xml:space="preserve"> &amp; Arshad, 2023). Although each of these strands has produced valuable insights, syntheses that integrate technological, pedagogical, and institutional perspectives within a single analytic frame remain scarce, and existing reviews tend to privilege either a single technology (e.g., AI or XR) or a single disciplinary context, limiting their usefulness for institutional decision-makers who must weigh competing technological investments simultaneously (</w:t>
      </w:r>
      <w:proofErr w:type="spellStart"/>
      <w:r>
        <w:rPr>
          <w:rFonts w:ascii="Cambria" w:hAnsi="Cambria"/>
          <w:sz w:val="20"/>
          <w:szCs w:val="20"/>
        </w:rPr>
        <w:t>Arviansyah</w:t>
      </w:r>
      <w:proofErr w:type="spellEnd"/>
      <w:r>
        <w:rPr>
          <w:rFonts w:ascii="Cambria" w:hAnsi="Cambria"/>
          <w:sz w:val="20"/>
          <w:szCs w:val="20"/>
        </w:rPr>
        <w:t xml:space="preserve"> et al., 2024; Janahi et al., 2023).</w:t>
      </w:r>
    </w:p>
    <w:p w14:paraId="473B4DF3" w14:textId="77777777" w:rsidR="00A14FC2" w:rsidRPr="007653D5" w:rsidRDefault="00A14FC2" w:rsidP="00A14FC2">
      <w:pPr>
        <w:pStyle w:val="NormalWeb"/>
        <w:spacing w:before="0" w:beforeAutospacing="0" w:after="0" w:afterAutospacing="0"/>
        <w:ind w:firstLine="720"/>
        <w:jc w:val="both"/>
        <w:rPr>
          <w:rFonts w:ascii="Cambria" w:hAnsi="Cambria"/>
          <w:sz w:val="20"/>
          <w:szCs w:val="20"/>
        </w:rPr>
      </w:pPr>
      <w:r>
        <w:rPr>
          <w:rFonts w:ascii="Cambria" w:hAnsi="Cambria"/>
          <w:sz w:val="20"/>
          <w:szCs w:val="20"/>
        </w:rPr>
        <w:t xml:space="preserve">A further gap concerns the treatment of digital literacy and equity. Much of the existing literature assumes relatively uniform access to infrastructure, connectivity, and digital competence among students and instructors, an assumption increasingly questioned in studies conducted in the Global South and in institutions serving first-generation or non-traditional students (Farias-Gaytan et al., 2023; </w:t>
      </w:r>
      <w:proofErr w:type="spellStart"/>
      <w:r>
        <w:rPr>
          <w:rFonts w:ascii="Cambria" w:hAnsi="Cambria"/>
          <w:sz w:val="20"/>
          <w:szCs w:val="20"/>
        </w:rPr>
        <w:t>Qolamani</w:t>
      </w:r>
      <w:proofErr w:type="spellEnd"/>
      <w:r>
        <w:rPr>
          <w:rFonts w:ascii="Cambria" w:hAnsi="Cambria"/>
          <w:sz w:val="20"/>
          <w:szCs w:val="20"/>
        </w:rPr>
        <w:t xml:space="preserve"> &amp; Mohammed, 2023). Without explicit attention to these disparities, technology-based learning risks widening rather than narrowing educational inequities, a concern that has become more acute as generative AI tools proliferate unevenly across institutions with differing financial and technical capacities (Bashir &amp; </w:t>
      </w:r>
      <w:proofErr w:type="spellStart"/>
      <w:r>
        <w:rPr>
          <w:rFonts w:ascii="Cambria" w:hAnsi="Cambria"/>
          <w:sz w:val="20"/>
          <w:szCs w:val="20"/>
        </w:rPr>
        <w:t>Lapshun</w:t>
      </w:r>
      <w:proofErr w:type="spellEnd"/>
      <w:r>
        <w:rPr>
          <w:rFonts w:ascii="Cambria" w:hAnsi="Cambria"/>
          <w:sz w:val="20"/>
          <w:szCs w:val="20"/>
        </w:rPr>
        <w:t>, 2024). Similarly, while numerous studies report positive effects of specific tools on engagement or motivation, fewer examine sustained, longitudinal outcomes, or the mechanisms through which short-term gains translate into durable learning (Wu &amp; Chen, 2025).</w:t>
      </w:r>
    </w:p>
    <w:p w14:paraId="492A395F" w14:textId="77777777" w:rsidR="00A14FC2" w:rsidRPr="007653D5" w:rsidRDefault="00A14FC2" w:rsidP="00A14FC2">
      <w:pPr>
        <w:pStyle w:val="NormalWeb"/>
        <w:spacing w:before="0" w:beforeAutospacing="0" w:after="0" w:afterAutospacing="0"/>
        <w:ind w:firstLine="720"/>
        <w:jc w:val="both"/>
        <w:rPr>
          <w:rFonts w:ascii="Cambria" w:hAnsi="Cambria"/>
          <w:sz w:val="20"/>
          <w:szCs w:val="20"/>
        </w:rPr>
      </w:pPr>
      <w:r>
        <w:rPr>
          <w:rFonts w:ascii="Cambria" w:hAnsi="Cambria"/>
          <w:sz w:val="20"/>
          <w:szCs w:val="20"/>
        </w:rPr>
        <w:t>Theoretical accounts of technology-based learning have likewise evolved in response to this changing landscape. Early frameworks, such as the Technological Pedagogical Content Knowledge (TPACK) model, emphasized the intersection of technological, pedagogical, and content knowledge as the foundation for effective instructional design, while diffusion-of-innovation and acceptance models, culminating in UTAUT, foregrounded performance expectancy, effort expectancy, social influence, and facilitating conditions as predictors of adoption (Xue et al., 2024). These frameworks remain influential, yet they were largely developed before the emergence of generative AI and immersive XR environments, and their applicability to tools that adapt dynamically to individual learners, rather than functioning as static instructional media, is still being tested empirically (</w:t>
      </w:r>
      <w:proofErr w:type="spellStart"/>
      <w:r>
        <w:rPr>
          <w:rFonts w:ascii="Cambria" w:hAnsi="Cambria"/>
          <w:sz w:val="20"/>
          <w:szCs w:val="20"/>
        </w:rPr>
        <w:t>Almufarreh</w:t>
      </w:r>
      <w:proofErr w:type="spellEnd"/>
      <w:r>
        <w:rPr>
          <w:rFonts w:ascii="Cambria" w:hAnsi="Cambria"/>
          <w:sz w:val="20"/>
          <w:szCs w:val="20"/>
        </w:rPr>
        <w:t xml:space="preserve"> &amp; Arshad, 2023). Recent studies have therefore begun to extend or hybridize these frameworks, combining acceptance constructs with self-regulated learning theory to explain not only whether students adopt a tool but how they use it once adopted (Aithal et al., 2024).</w:t>
      </w:r>
    </w:p>
    <w:p w14:paraId="73E7C009" w14:textId="77777777" w:rsidR="00A14FC2" w:rsidRPr="007653D5" w:rsidRDefault="00A14FC2" w:rsidP="00A14FC2">
      <w:pPr>
        <w:pStyle w:val="NormalWeb"/>
        <w:spacing w:before="0" w:beforeAutospacing="0" w:after="0" w:afterAutospacing="0"/>
        <w:ind w:firstLine="720"/>
        <w:jc w:val="both"/>
        <w:rPr>
          <w:rFonts w:ascii="Cambria" w:hAnsi="Cambria"/>
          <w:sz w:val="20"/>
          <w:szCs w:val="20"/>
        </w:rPr>
      </w:pPr>
      <w:r>
        <w:rPr>
          <w:rFonts w:ascii="Cambria" w:hAnsi="Cambria"/>
          <w:sz w:val="20"/>
          <w:szCs w:val="20"/>
        </w:rPr>
        <w:t>The historical trajectory of educational technology in higher education also matters for interpreting current trends. Learning management systems and early e-learning platforms of the 2000s and 2010s primarily digitized content delivery and administrative processes, offering limited adaptivity (Janahi et al., 2023). The subsequent rise of mobile learning, learning analytics, and massive open online courses expanded access but exposed persistent completion and engagement challenges. The current wave, characterized by generative AI, immersive XR, and digital twins, differs qualitatively in that these tools can generate novel content, simulate physical environments, and personalize feedback in real time, shifting the central pedagogical question from "how do we deliver content efficiently" to "how do we design learning experiences that adapt meaningfully to individual learners while preserving academic rigor and equity" (Zou et al., 2025). Understanding this shift requires precisely the kind of integrative, recency-focused synthesis this review undertakes.</w:t>
      </w:r>
    </w:p>
    <w:p w14:paraId="1CBF00E6" w14:textId="7347FDDC" w:rsidR="00A14FC2" w:rsidRPr="007653D5" w:rsidRDefault="00A14FC2" w:rsidP="00A14FC2">
      <w:pPr>
        <w:pStyle w:val="NormalWeb"/>
        <w:spacing w:before="0" w:beforeAutospacing="0" w:after="0" w:afterAutospacing="0"/>
        <w:ind w:firstLine="720"/>
        <w:jc w:val="both"/>
        <w:rPr>
          <w:rFonts w:ascii="Cambria" w:hAnsi="Cambria"/>
          <w:sz w:val="20"/>
          <w:szCs w:val="20"/>
        </w:rPr>
      </w:pPr>
      <w:r>
        <w:rPr>
          <w:rFonts w:ascii="Cambria" w:hAnsi="Cambria"/>
          <w:sz w:val="20"/>
          <w:szCs w:val="20"/>
        </w:rPr>
        <w:t>The novelty of the present study lies in three contributions that, to the authors' knowledge, have not been jointly addressed in a single review. First, rather than treating AI, XR, digital-twin technology, and institutional digital transformation as separate literatures, this review synthesizes findings across these domains within one integrated framework that links technological features, pedagogical roles, and institutional enabling conditions. Second, the review privileges recency, deliberately concentrating on studies published within the past three years (2023-2025) to capture the post-pandemic acceleration of technology adoption and the recent emergence of generative AI as a dominant theme, an emphasis that distinguishes this review from earlier syntheses concluding before the generative AI inflection point. Third, the review explicitly foregrounds equity and sustainability considerations as cross-cutting analytic categories rather than as secondary discussion points, responding to calls in the literature for more critical, context-sensitive accounts of digital transformation (Otto et al., 2023; Samanta &amp; Banerjee, 2025).</w:t>
      </w:r>
    </w:p>
    <w:p w14:paraId="6692331F" w14:textId="77777777" w:rsidR="00A14FC2" w:rsidRPr="004C7804" w:rsidRDefault="00A14FC2" w:rsidP="00A14FC2">
      <w:pPr>
        <w:pStyle w:val="NormalWeb"/>
        <w:spacing w:before="0" w:beforeAutospacing="0" w:after="0" w:afterAutospacing="0"/>
        <w:ind w:firstLine="720"/>
        <w:jc w:val="both"/>
        <w:rPr>
          <w:rFonts w:ascii="Cambria" w:hAnsi="Cambria"/>
          <w:sz w:val="20"/>
          <w:szCs w:val="20"/>
        </w:rPr>
      </w:pPr>
      <w:r>
        <w:rPr>
          <w:rFonts w:ascii="Cambria" w:hAnsi="Cambria"/>
          <w:sz w:val="20"/>
          <w:szCs w:val="20"/>
        </w:rPr>
        <w:t>Guided by these considerations, this study addresses two research questions: (1) What are the dominant technological trends shaping learning in higher education between 2023 and 2025, and how are they distributed across disciplines and institutional contexts? (2) What do current empirical and conceptual studies suggest about the pedagogical effectiveness, adoption barriers, and future trajectories of technology-based learning? To answer these questions, the review applies a systematic methodology, described in the following section, before presenting thematic results and discussion, and concluding with implications for research, policy, and institutional practice. By integrating fragmented strands of evidence into a coherent framework, this study aims to provide both researchers and higher-education leaders with a clearer map of where technology-based learning currently stands and where it is likely headed.</w:t>
      </w:r>
    </w:p>
    <w:p w14:paraId="0203796D" w14:textId="77777777" w:rsidR="004C7804" w:rsidRPr="009141B3" w:rsidRDefault="004C7804" w:rsidP="00A14FC2">
      <w:pPr>
        <w:pStyle w:val="NormalWeb"/>
        <w:spacing w:before="0" w:beforeAutospacing="0" w:after="0" w:afterAutospacing="0"/>
        <w:jc w:val="both"/>
        <w:rPr>
          <w:rFonts w:ascii="Cambria" w:hAnsi="Cambria"/>
          <w:sz w:val="20"/>
          <w:szCs w:val="20"/>
        </w:rPr>
      </w:pPr>
    </w:p>
    <w:p w14:paraId="5C306CE0" w14:textId="77777777" w:rsidR="009D2537" w:rsidRPr="00845C64" w:rsidRDefault="009D2537" w:rsidP="00E34D26">
      <w:pPr>
        <w:ind w:firstLine="720"/>
        <w:jc w:val="both"/>
        <w:rPr>
          <w:rFonts w:ascii="Cambria" w:hAnsi="Cambria" w:cs="Arial"/>
          <w:sz w:val="20"/>
          <w:szCs w:val="20"/>
          <w:highlight w:val="yellow"/>
        </w:rPr>
      </w:pPr>
    </w:p>
    <w:p w14:paraId="4BD42885" w14:textId="77777777" w:rsidR="00A14FC2" w:rsidRPr="00A14FC2" w:rsidRDefault="00E711A7" w:rsidP="00A14FC2">
      <w:pPr>
        <w:pStyle w:val="ListParagraph"/>
        <w:numPr>
          <w:ilvl w:val="0"/>
          <w:numId w:val="1"/>
        </w:numPr>
        <w:spacing w:after="120"/>
        <w:ind w:left="284" w:hanging="284"/>
        <w:rPr>
          <w:rFonts w:ascii="Cambria" w:hAnsi="Cambria"/>
          <w:color w:val="000000"/>
          <w:sz w:val="20"/>
          <w:szCs w:val="20"/>
          <w:lang w:val="id-ID"/>
        </w:rPr>
      </w:pPr>
      <w:r w:rsidRPr="002D7290">
        <w:rPr>
          <w:rFonts w:ascii="Cambria" w:hAnsi="Cambria" w:cs="Arial"/>
          <w:b/>
          <w:sz w:val="20"/>
          <w:szCs w:val="20"/>
          <w:lang w:val="en-US" w:eastAsia="ja-JP"/>
        </w:rPr>
        <w:t>METHOD</w:t>
      </w:r>
    </w:p>
    <w:p w14:paraId="3CED0130" w14:textId="77777777" w:rsidR="00A14FC2" w:rsidRDefault="00A14FC2" w:rsidP="00E271BF">
      <w:pPr>
        <w:spacing w:after="120"/>
        <w:ind w:firstLine="720"/>
        <w:jc w:val="both"/>
        <w:rPr>
          <w:rFonts w:ascii="Cambria" w:hAnsi="Cambria"/>
          <w:color w:val="000000"/>
          <w:sz w:val="20"/>
          <w:szCs w:val="20"/>
          <w:lang w:val="id-ID"/>
        </w:rPr>
      </w:pPr>
      <w:r w:rsidRPr="00A14FC2">
        <w:rPr>
          <w:rFonts w:ascii="Cambria" w:eastAsia="Times New Roman" w:hAnsi="Cambria"/>
          <w:sz w:val="20"/>
          <w:szCs w:val="20"/>
          <w:lang w:val="fi-FI" w:eastAsia="tr-TR"/>
        </w:rPr>
        <w:t>This study employed a systematic literature review guided by the PRISMA 2020 statement (Preferred Reporting Items for Systematic Reviews and Meta-Analyses), which specifies a transparent, replicable protocol for identifying, screening, and synthesizing relevant literature. The review addressed two research questions concerning the dominant technological trends in higher education between 2023 and 2025 and their pedagogical implications, adoption barriers, and future trajectories.</w:t>
      </w:r>
    </w:p>
    <w:p w14:paraId="70BCA45E" w14:textId="77777777" w:rsidR="00A14FC2" w:rsidRDefault="00A14FC2" w:rsidP="00E271BF">
      <w:pPr>
        <w:spacing w:after="120"/>
        <w:ind w:firstLine="720"/>
        <w:jc w:val="both"/>
        <w:rPr>
          <w:rFonts w:ascii="Cambria" w:hAnsi="Cambria"/>
          <w:color w:val="000000"/>
          <w:sz w:val="20"/>
          <w:szCs w:val="20"/>
          <w:lang w:val="id-ID"/>
        </w:rPr>
      </w:pPr>
      <w:r w:rsidRPr="00A14FC2">
        <w:rPr>
          <w:rFonts w:ascii="Cambria" w:eastAsia="Times New Roman" w:hAnsi="Cambria"/>
          <w:sz w:val="20"/>
          <w:szCs w:val="20"/>
          <w:lang w:val="fi-FI" w:eastAsia="tr-TR"/>
        </w:rPr>
        <w:t>Search strategy. A structured search was conducted across Scopus, Web of Science, and Google Scholar using combinations of the keywords "technology-based learning," "higher education," "digital transformation," "artificial intelligence," "extended reality," "digital twin," and "future perspectives," connected with Boolean operators (AND/OR). The search was restricted to peer-reviewed journal articles published in English between January 2023 and December 2025 to capture the most recent, post-pandemic wave of technology adoption, including the emergence of generative AI as a dominant instructional tool.</w:t>
      </w:r>
    </w:p>
    <w:p w14:paraId="299A6807" w14:textId="77777777" w:rsidR="00E271BF" w:rsidRDefault="00A14FC2" w:rsidP="00E271BF">
      <w:pPr>
        <w:spacing w:after="120"/>
        <w:ind w:firstLine="720"/>
        <w:jc w:val="both"/>
        <w:rPr>
          <w:rFonts w:ascii="Cambria" w:hAnsi="Cambria"/>
          <w:color w:val="000000"/>
          <w:sz w:val="20"/>
          <w:szCs w:val="20"/>
          <w:lang w:val="id-ID"/>
        </w:rPr>
      </w:pPr>
      <w:r w:rsidRPr="00A14FC2">
        <w:rPr>
          <w:rFonts w:ascii="Cambria" w:eastAsia="Times New Roman" w:hAnsi="Cambria"/>
          <w:sz w:val="20"/>
          <w:szCs w:val="20"/>
          <w:lang w:val="fi-FI" w:eastAsia="tr-TR"/>
        </w:rPr>
        <w:t>Eligibility criteria. Studies were included if they (a) examined a specific digital technology or a set of technologies applied to higher-education teaching or learning, (b) reported empirical findings, a systematic review, or a substantiated conceptual analysis, and (c) were published in a peer-reviewed journal with a verifiable, active digital object identifier (DOI) within the specified 2023-2025 search window. Studies were excluded if they addressed technology use exclusively in primary or secondary education, lacked sufficient methodological detail, were not accessible in full text, or duplicated findings already captured by an included study.</w:t>
      </w:r>
    </w:p>
    <w:p w14:paraId="0DDE1647" w14:textId="77777777" w:rsidR="00E271BF" w:rsidRDefault="00A14FC2" w:rsidP="00E271BF">
      <w:pPr>
        <w:spacing w:after="120"/>
        <w:ind w:firstLine="720"/>
        <w:jc w:val="both"/>
        <w:rPr>
          <w:rFonts w:ascii="Cambria" w:hAnsi="Cambria"/>
          <w:color w:val="000000"/>
          <w:sz w:val="20"/>
          <w:szCs w:val="20"/>
          <w:lang w:val="id-ID"/>
        </w:rPr>
      </w:pPr>
      <w:r w:rsidRPr="00A14FC2">
        <w:rPr>
          <w:rFonts w:ascii="Cambria" w:eastAsia="Times New Roman" w:hAnsi="Cambria"/>
          <w:sz w:val="20"/>
          <w:szCs w:val="20"/>
          <w:lang w:val="fi-FI" w:eastAsia="tr-TR"/>
        </w:rPr>
        <w:t>Selection process and data extraction. The initial search yielded 246 records. After removing 48 duplicates, 198 records were screened by title and abstract, of which 132 were excluded for being off-topic or out of scope. The remaining 66 full-text articles were assessed for eligibility, and 41 were excluded for reasons including insufficient methodological detail, non-higher-education focus, or inaccessible full text. A total of 25 articles met all inclusion criteria and were retained for analysis. For each included study, information was extracted on publication year, geographic and disciplinary context, technology type, research design, and reported outcomes, then organized into thematic categories using an inductive, iterative coding process. Figure 1 presents the complete PRISMA 2020 flow diagram summarizing this selection process.</w:t>
      </w:r>
    </w:p>
    <w:p w14:paraId="3690154F" w14:textId="46D5A9C0" w:rsidR="00A14FC2" w:rsidRPr="00E271BF" w:rsidRDefault="00A14FC2" w:rsidP="00E271BF">
      <w:pPr>
        <w:spacing w:after="120"/>
        <w:ind w:firstLine="720"/>
        <w:jc w:val="both"/>
        <w:rPr>
          <w:rFonts w:ascii="Cambria" w:hAnsi="Cambria"/>
          <w:color w:val="000000"/>
          <w:sz w:val="20"/>
          <w:szCs w:val="20"/>
          <w:lang w:val="id-ID"/>
        </w:rPr>
      </w:pPr>
      <w:r w:rsidRPr="00A14FC2">
        <w:rPr>
          <w:rFonts w:ascii="Cambria" w:eastAsia="Times New Roman" w:hAnsi="Cambria"/>
          <w:sz w:val="20"/>
          <w:szCs w:val="20"/>
          <w:lang w:val="fi-FI" w:eastAsia="tr-TR"/>
        </w:rPr>
        <w:t>Analytical approach. Extracted data were synthesized narratively using a thematic analysis approach, in which recurring technological domains and outcome patterns across studies were grouped into overarching themes. This approach was chosen over meta-analysis because the included studies varied substantially in design, outcome measures, and disciplinary context, making a quantitative pooling of effect sizes inappropriate. Thematic saturation was determined when additional studies no longer contributed new categories to the coding framework</w:t>
      </w:r>
    </w:p>
    <w:p w14:paraId="4D36F0F6" w14:textId="77777777" w:rsidR="007653D5" w:rsidRDefault="007653D5" w:rsidP="007653D5">
      <w:pPr>
        <w:tabs>
          <w:tab w:val="left" w:pos="3744"/>
        </w:tabs>
        <w:ind w:firstLine="720"/>
        <w:jc w:val="both"/>
        <w:rPr>
          <w:rFonts w:ascii="Cambria" w:eastAsia="Times New Roman" w:hAnsi="Cambria"/>
          <w:sz w:val="20"/>
          <w:szCs w:val="20"/>
          <w:lang w:val="fi-FI" w:eastAsia="tr-TR"/>
        </w:rPr>
      </w:pPr>
    </w:p>
    <w:p w14:paraId="0A980B6C" w14:textId="5EC48D04" w:rsidR="00D40A68" w:rsidRPr="00D40A68" w:rsidRDefault="007653D5" w:rsidP="007653D5">
      <w:pPr>
        <w:tabs>
          <w:tab w:val="left" w:pos="3744"/>
        </w:tabs>
        <w:ind w:firstLine="720"/>
        <w:jc w:val="center"/>
        <w:rPr>
          <w:rFonts w:ascii="Cambria" w:hAnsi="Cambria"/>
          <w:b/>
          <w:bCs/>
          <w:sz w:val="20"/>
          <w:szCs w:val="20"/>
        </w:rPr>
      </w:pPr>
      <w:r>
        <w:rPr>
          <w:noProof/>
        </w:rPr>
        <w:drawing>
          <wp:inline distT="0" distB="0" distL="0" distR="0" wp14:anchorId="3562C625" wp14:editId="29583E4D">
            <wp:extent cx="3619500" cy="4114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16"/>
                    <a:srcRect b="11837"/>
                    <a:stretch>
                      <a:fillRect/>
                    </a:stretch>
                  </pic:blipFill>
                  <pic:spPr bwMode="auto">
                    <a:xfrm>
                      <a:off x="0" y="0"/>
                      <a:ext cx="3619500" cy="4114800"/>
                    </a:xfrm>
                    <a:prstGeom prst="rect">
                      <a:avLst/>
                    </a:prstGeom>
                    <a:ln>
                      <a:noFill/>
                    </a:ln>
                    <a:extLst>
                      <a:ext uri="{53640926-AAD7-44D8-BBD7-CCE9431645EC}">
                        <a14:shadowObscured xmlns:a14="http://schemas.microsoft.com/office/drawing/2010/main"/>
                      </a:ext>
                    </a:extLst>
                  </pic:spPr>
                </pic:pic>
              </a:graphicData>
            </a:graphic>
          </wp:inline>
        </w:drawing>
      </w:r>
      <w:r w:rsidR="00D40A68" w:rsidRPr="00D40A68">
        <w:rPr>
          <w:rFonts w:ascii="Cambria" w:hAnsi="Cambria"/>
          <w:sz w:val="20"/>
          <w:szCs w:val="20"/>
        </w:rPr>
        <w:t>.</w:t>
      </w:r>
    </w:p>
    <w:p w14:paraId="35A37813" w14:textId="3F65917B" w:rsidR="00D40A68" w:rsidRPr="007653D5" w:rsidRDefault="007653D5" w:rsidP="00D40A68">
      <w:pPr>
        <w:jc w:val="both"/>
        <w:rPr>
          <w:rStyle w:val="rynqvb"/>
          <w:rFonts w:ascii="Cambria" w:hAnsi="Cambria"/>
          <w:sz w:val="18"/>
          <w:szCs w:val="18"/>
          <w:lang w:val="en"/>
        </w:rPr>
      </w:pPr>
      <w:r w:rsidRPr="007653D5">
        <w:rPr>
          <w:rFonts w:eastAsia="Times New Roman"/>
          <w:i/>
          <w:iCs/>
          <w:sz w:val="22"/>
          <w:szCs w:val="22"/>
        </w:rPr>
        <w:tab/>
      </w:r>
      <w:r w:rsidR="00983ADB">
        <w:rPr>
          <w:rFonts w:eastAsia="Times New Roman"/>
          <w:i/>
          <w:iCs/>
          <w:sz w:val="22"/>
          <w:szCs w:val="22"/>
        </w:rPr>
        <w:tab/>
      </w:r>
      <w:r w:rsidR="00983ADB">
        <w:rPr>
          <w:rFonts w:eastAsia="Times New Roman"/>
          <w:i/>
          <w:iCs/>
          <w:sz w:val="22"/>
          <w:szCs w:val="22"/>
        </w:rPr>
        <w:tab/>
      </w:r>
      <w:r w:rsidRPr="007653D5">
        <w:rPr>
          <w:rFonts w:eastAsia="Times New Roman"/>
          <w:i/>
          <w:iCs/>
          <w:sz w:val="22"/>
          <w:szCs w:val="22"/>
        </w:rPr>
        <w:t>Figure 1. PRISMA 2020 flow diagram of the study selection process</w:t>
      </w:r>
    </w:p>
    <w:p w14:paraId="0F7B809B" w14:textId="77777777" w:rsidR="005B05D3" w:rsidRPr="005A11B6" w:rsidRDefault="005B05D3" w:rsidP="005B05D3">
      <w:pPr>
        <w:jc w:val="both"/>
        <w:rPr>
          <w:rFonts w:ascii="Cambria" w:hAnsi="Cambria"/>
          <w:color w:val="000000"/>
          <w:sz w:val="20"/>
          <w:szCs w:val="20"/>
          <w:highlight w:val="yellow"/>
        </w:rPr>
      </w:pPr>
    </w:p>
    <w:p w14:paraId="7D3C544C" w14:textId="726A3D5A" w:rsidR="00DF46A2" w:rsidRPr="007C3CD7" w:rsidRDefault="00E711A7" w:rsidP="00DF46A2">
      <w:pPr>
        <w:pStyle w:val="ListParagraph"/>
        <w:numPr>
          <w:ilvl w:val="0"/>
          <w:numId w:val="1"/>
        </w:numPr>
        <w:spacing w:after="120"/>
        <w:ind w:left="284" w:hanging="284"/>
        <w:rPr>
          <w:rFonts w:ascii="Cambria" w:hAnsi="Cambria"/>
          <w:b/>
          <w:color w:val="000000"/>
          <w:sz w:val="20"/>
          <w:szCs w:val="20"/>
          <w:lang w:eastAsia="ja-JP"/>
        </w:rPr>
      </w:pPr>
      <w:r w:rsidRPr="007A64A4">
        <w:rPr>
          <w:rFonts w:ascii="Cambria" w:hAnsi="Cambria"/>
          <w:b/>
          <w:color w:val="000000"/>
          <w:sz w:val="20"/>
          <w:szCs w:val="20"/>
          <w:lang w:val="en-US" w:eastAsia="ja-JP"/>
        </w:rPr>
        <w:t>RESULT AND DISCUSSION</w:t>
      </w:r>
    </w:p>
    <w:p w14:paraId="33077C0D" w14:textId="0356C268" w:rsidR="007653D5" w:rsidRDefault="007C3CD7" w:rsidP="00E271BF">
      <w:pPr>
        <w:jc w:val="both"/>
        <w:rPr>
          <w:rFonts w:ascii="Cambria" w:eastAsia="Times New Roman" w:hAnsi="Cambria"/>
          <w:sz w:val="20"/>
          <w:szCs w:val="20"/>
        </w:rPr>
      </w:pPr>
      <w:r>
        <w:rPr>
          <w:rFonts w:ascii="Cambria" w:eastAsia="Times New Roman" w:hAnsi="Cambria" w:cs="Arial"/>
          <w:sz w:val="20"/>
          <w:szCs w:val="20"/>
        </w:rPr>
        <w:tab/>
      </w:r>
      <w:r w:rsidR="00E271BF">
        <w:rPr>
          <w:rFonts w:ascii="Cambria" w:eastAsia="Times New Roman" w:hAnsi="Cambria"/>
          <w:sz w:val="20"/>
          <w:szCs w:val="20"/>
        </w:rPr>
        <w:t>Of the 25 studies included in this review, publication dates ranged from 2023 to 2025, with a visible concentration in 2023-2024, reflecting the post-pandemic consolidation of digital learning practices and the rapid emergence of generative AI as a research focus. The included studies spanned engineering, medical, language, and general higher-education contexts, and employed systematic reviews, bibliometric analyses, conceptual frameworks, and, in a smaller number of cases, empirical evaluations. Thematic analysis of the corpus produced five overarching themes, summarized in Table 1 and discussed in turn below: (1) artificial intelligence for personalization and intelligent tutoring, (2) extended reality and immersive simulation, (3) digital twins and game-based engineering education, (4) institutional digital transformation and digital literacy, and (5) technology-acceptance frameworks and adoption barriers.</w:t>
      </w:r>
    </w:p>
    <w:p w14:paraId="43ADF50E" w14:textId="77777777" w:rsidR="007653D5" w:rsidRPr="007653D5" w:rsidRDefault="007653D5" w:rsidP="007653D5">
      <w:pPr>
        <w:jc w:val="both"/>
        <w:rPr>
          <w:rFonts w:ascii="Cambria" w:hAnsi="Cambria"/>
          <w:sz w:val="20"/>
          <w:szCs w:val="20"/>
        </w:rPr>
      </w:pPr>
    </w:p>
    <w:p w14:paraId="412EDB7C" w14:textId="77777777" w:rsidR="007653D5" w:rsidRPr="007653D5" w:rsidRDefault="007653D5" w:rsidP="007653D5">
      <w:pPr>
        <w:spacing w:before="200"/>
        <w:jc w:val="center"/>
        <w:rPr>
          <w:rFonts w:ascii="Cambria" w:hAnsi="Cambria"/>
          <w:sz w:val="20"/>
          <w:szCs w:val="20"/>
        </w:rPr>
      </w:pPr>
      <w:r w:rsidRPr="007653D5">
        <w:rPr>
          <w:rFonts w:ascii="Cambria" w:eastAsia="Times New Roman" w:hAnsi="Cambria"/>
          <w:b/>
          <w:bCs/>
          <w:i/>
          <w:iCs/>
          <w:sz w:val="20"/>
          <w:szCs w:val="20"/>
        </w:rPr>
        <w:t>Table 1</w:t>
      </w:r>
    </w:p>
    <w:p w14:paraId="3DA6F8F1" w14:textId="77777777" w:rsidR="007653D5" w:rsidRPr="007653D5" w:rsidRDefault="007653D5" w:rsidP="007653D5">
      <w:pPr>
        <w:jc w:val="center"/>
        <w:rPr>
          <w:rFonts w:ascii="Cambria" w:hAnsi="Cambria"/>
          <w:sz w:val="20"/>
          <w:szCs w:val="20"/>
        </w:rPr>
      </w:pPr>
      <w:r w:rsidRPr="007653D5">
        <w:rPr>
          <w:rFonts w:ascii="Cambria" w:eastAsia="Times New Roman" w:hAnsi="Cambria"/>
          <w:i/>
          <w:iCs/>
          <w:sz w:val="20"/>
          <w:szCs w:val="20"/>
        </w:rPr>
        <w:t>Summary of Thematic Categories Identified in the Reviewed Literature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50"/>
        <w:gridCol w:w="2175"/>
        <w:gridCol w:w="1812"/>
        <w:gridCol w:w="1812"/>
        <w:gridCol w:w="1812"/>
      </w:tblGrid>
      <w:tr w:rsidR="007653D5" w:rsidRPr="007653D5" w14:paraId="4B8C8D00" w14:textId="77777777" w:rsidTr="00B83EFB">
        <w:tc>
          <w:tcPr>
            <w:tcW w:w="800" w:type="pct"/>
            <w:shd w:val="clear" w:color="auto" w:fill="D9D9D9"/>
          </w:tcPr>
          <w:p w14:paraId="49A907AC" w14:textId="77777777" w:rsidR="007653D5" w:rsidRPr="007653D5" w:rsidRDefault="007653D5" w:rsidP="00B83EFB">
            <w:pPr>
              <w:rPr>
                <w:rFonts w:ascii="Cambria" w:hAnsi="Cambria"/>
                <w:sz w:val="20"/>
                <w:szCs w:val="20"/>
              </w:rPr>
            </w:pPr>
            <w:r w:rsidRPr="007653D5">
              <w:rPr>
                <w:rFonts w:ascii="Cambria" w:eastAsia="Times New Roman" w:hAnsi="Cambria"/>
                <w:b/>
                <w:bCs/>
                <w:sz w:val="20"/>
                <w:szCs w:val="20"/>
              </w:rPr>
              <w:t>Theme</w:t>
            </w:r>
          </w:p>
        </w:tc>
        <w:tc>
          <w:tcPr>
            <w:tcW w:w="1200" w:type="pct"/>
            <w:shd w:val="clear" w:color="auto" w:fill="D9D9D9"/>
          </w:tcPr>
          <w:p w14:paraId="74982E51" w14:textId="77777777" w:rsidR="007653D5" w:rsidRPr="007653D5" w:rsidRDefault="007653D5" w:rsidP="00B83EFB">
            <w:pPr>
              <w:rPr>
                <w:rFonts w:ascii="Cambria" w:hAnsi="Cambria"/>
                <w:sz w:val="20"/>
                <w:szCs w:val="20"/>
              </w:rPr>
            </w:pPr>
            <w:r w:rsidRPr="007653D5">
              <w:rPr>
                <w:rFonts w:ascii="Cambria" w:eastAsia="Times New Roman" w:hAnsi="Cambria"/>
                <w:b/>
                <w:bCs/>
                <w:sz w:val="20"/>
                <w:szCs w:val="20"/>
              </w:rPr>
              <w:t>Representative studies</w:t>
            </w:r>
          </w:p>
        </w:tc>
        <w:tc>
          <w:tcPr>
            <w:tcW w:w="1000" w:type="pct"/>
            <w:shd w:val="clear" w:color="auto" w:fill="D9D9D9"/>
          </w:tcPr>
          <w:p w14:paraId="0D35DBA8" w14:textId="77777777" w:rsidR="007653D5" w:rsidRPr="007653D5" w:rsidRDefault="007653D5" w:rsidP="00B83EFB">
            <w:pPr>
              <w:rPr>
                <w:rFonts w:ascii="Cambria" w:hAnsi="Cambria"/>
                <w:sz w:val="20"/>
                <w:szCs w:val="20"/>
              </w:rPr>
            </w:pPr>
            <w:r w:rsidRPr="007653D5">
              <w:rPr>
                <w:rFonts w:ascii="Cambria" w:eastAsia="Times New Roman" w:hAnsi="Cambria"/>
                <w:b/>
                <w:bCs/>
                <w:sz w:val="20"/>
                <w:szCs w:val="20"/>
              </w:rPr>
              <w:t>Core technologies</w:t>
            </w:r>
          </w:p>
        </w:tc>
        <w:tc>
          <w:tcPr>
            <w:tcW w:w="1000" w:type="pct"/>
            <w:shd w:val="clear" w:color="auto" w:fill="D9D9D9"/>
          </w:tcPr>
          <w:p w14:paraId="663863D1" w14:textId="77777777" w:rsidR="007653D5" w:rsidRPr="007653D5" w:rsidRDefault="007653D5" w:rsidP="00B83EFB">
            <w:pPr>
              <w:rPr>
                <w:rFonts w:ascii="Cambria" w:hAnsi="Cambria"/>
                <w:sz w:val="20"/>
                <w:szCs w:val="20"/>
              </w:rPr>
            </w:pPr>
            <w:r w:rsidRPr="007653D5">
              <w:rPr>
                <w:rFonts w:ascii="Cambria" w:eastAsia="Times New Roman" w:hAnsi="Cambria"/>
                <w:b/>
                <w:bCs/>
                <w:sz w:val="20"/>
                <w:szCs w:val="20"/>
              </w:rPr>
              <w:t>Reported benefits</w:t>
            </w:r>
          </w:p>
        </w:tc>
        <w:tc>
          <w:tcPr>
            <w:tcW w:w="1000" w:type="pct"/>
            <w:shd w:val="clear" w:color="auto" w:fill="D9D9D9"/>
          </w:tcPr>
          <w:p w14:paraId="1C5A3413" w14:textId="77777777" w:rsidR="007653D5" w:rsidRPr="007653D5" w:rsidRDefault="007653D5" w:rsidP="00B83EFB">
            <w:pPr>
              <w:rPr>
                <w:rFonts w:ascii="Cambria" w:hAnsi="Cambria"/>
                <w:sz w:val="20"/>
                <w:szCs w:val="20"/>
              </w:rPr>
            </w:pPr>
            <w:r w:rsidRPr="007653D5">
              <w:rPr>
                <w:rFonts w:ascii="Cambria" w:eastAsia="Times New Roman" w:hAnsi="Cambria"/>
                <w:b/>
                <w:bCs/>
                <w:sz w:val="20"/>
                <w:szCs w:val="20"/>
              </w:rPr>
              <w:t>Reported challenges</w:t>
            </w:r>
          </w:p>
        </w:tc>
      </w:tr>
      <w:tr w:rsidR="007653D5" w:rsidRPr="007653D5" w14:paraId="7F348CB8" w14:textId="77777777" w:rsidTr="00B83EFB">
        <w:tc>
          <w:tcPr>
            <w:tcW w:w="800" w:type="pct"/>
          </w:tcPr>
          <w:p w14:paraId="6A0A1981" w14:textId="77777777" w:rsidR="007653D5" w:rsidRPr="007653D5" w:rsidRDefault="007653D5" w:rsidP="00B83EFB">
            <w:pPr>
              <w:rPr>
                <w:rFonts w:ascii="Cambria" w:hAnsi="Cambria"/>
                <w:sz w:val="20"/>
                <w:szCs w:val="20"/>
              </w:rPr>
            </w:pPr>
            <w:r w:rsidRPr="007653D5">
              <w:rPr>
                <w:rFonts w:ascii="Cambria" w:eastAsia="Times New Roman" w:hAnsi="Cambria"/>
                <w:sz w:val="20"/>
                <w:szCs w:val="20"/>
              </w:rPr>
              <w:t>AI-driven personalization and tutoring</w:t>
            </w:r>
          </w:p>
        </w:tc>
        <w:tc>
          <w:tcPr>
            <w:tcW w:w="1200" w:type="pct"/>
          </w:tcPr>
          <w:p w14:paraId="20816845" w14:textId="77777777" w:rsidR="007653D5" w:rsidRPr="007653D5" w:rsidRDefault="007653D5" w:rsidP="00B83EFB">
            <w:pPr>
              <w:rPr>
                <w:rFonts w:ascii="Cambria" w:hAnsi="Cambria"/>
                <w:sz w:val="20"/>
                <w:szCs w:val="20"/>
              </w:rPr>
            </w:pPr>
            <w:r w:rsidRPr="007653D5">
              <w:rPr>
                <w:rFonts w:ascii="Cambria" w:eastAsia="Times New Roman" w:hAnsi="Cambria"/>
                <w:sz w:val="20"/>
                <w:szCs w:val="20"/>
              </w:rPr>
              <w:t>Feng et al. (2025); Mir et al. (2023); Hasumi &amp; Chiu (2024); Yılmaz (2024)</w:t>
            </w:r>
          </w:p>
        </w:tc>
        <w:tc>
          <w:tcPr>
            <w:tcW w:w="1000" w:type="pct"/>
          </w:tcPr>
          <w:p w14:paraId="1F89E2F4" w14:textId="77777777" w:rsidR="007653D5" w:rsidRPr="007653D5" w:rsidRDefault="007653D5" w:rsidP="00B83EFB">
            <w:pPr>
              <w:rPr>
                <w:rFonts w:ascii="Cambria" w:hAnsi="Cambria"/>
                <w:sz w:val="20"/>
                <w:szCs w:val="20"/>
              </w:rPr>
            </w:pPr>
            <w:r w:rsidRPr="007653D5">
              <w:rPr>
                <w:rFonts w:ascii="Cambria" w:eastAsia="Times New Roman" w:hAnsi="Cambria"/>
                <w:sz w:val="20"/>
                <w:szCs w:val="20"/>
              </w:rPr>
              <w:t>Intelligent tutoring systems, adaptive learning platforms, generative AI/LLMs</w:t>
            </w:r>
          </w:p>
        </w:tc>
        <w:tc>
          <w:tcPr>
            <w:tcW w:w="1000" w:type="pct"/>
          </w:tcPr>
          <w:p w14:paraId="07D473D9" w14:textId="77777777" w:rsidR="007653D5" w:rsidRPr="007653D5" w:rsidRDefault="007653D5" w:rsidP="00B83EFB">
            <w:pPr>
              <w:rPr>
                <w:rFonts w:ascii="Cambria" w:hAnsi="Cambria"/>
                <w:sz w:val="20"/>
                <w:szCs w:val="20"/>
              </w:rPr>
            </w:pPr>
            <w:r w:rsidRPr="007653D5">
              <w:rPr>
                <w:rFonts w:ascii="Cambria" w:eastAsia="Times New Roman" w:hAnsi="Cambria"/>
                <w:sz w:val="20"/>
                <w:szCs w:val="20"/>
              </w:rPr>
              <w:t>Personalized feedback; improved engagement; efficient assessment</w:t>
            </w:r>
          </w:p>
        </w:tc>
        <w:tc>
          <w:tcPr>
            <w:tcW w:w="1000" w:type="pct"/>
          </w:tcPr>
          <w:p w14:paraId="7C6D1110" w14:textId="77777777" w:rsidR="007653D5" w:rsidRPr="007653D5" w:rsidRDefault="007653D5" w:rsidP="00B83EFB">
            <w:pPr>
              <w:rPr>
                <w:rFonts w:ascii="Cambria" w:hAnsi="Cambria"/>
                <w:sz w:val="20"/>
                <w:szCs w:val="20"/>
              </w:rPr>
            </w:pPr>
            <w:r w:rsidRPr="007653D5">
              <w:rPr>
                <w:rFonts w:ascii="Cambria" w:eastAsia="Times New Roman" w:hAnsi="Cambria"/>
                <w:sz w:val="20"/>
                <w:szCs w:val="20"/>
              </w:rPr>
              <w:t>Algorithmic opacity; academic-integrity risk; uneven data quality</w:t>
            </w:r>
          </w:p>
        </w:tc>
      </w:tr>
      <w:tr w:rsidR="007653D5" w:rsidRPr="007653D5" w14:paraId="4CB4B0F0" w14:textId="77777777" w:rsidTr="00B83EFB">
        <w:tc>
          <w:tcPr>
            <w:tcW w:w="800" w:type="pct"/>
          </w:tcPr>
          <w:p w14:paraId="1E075D11" w14:textId="77777777" w:rsidR="007653D5" w:rsidRPr="007653D5" w:rsidRDefault="007653D5" w:rsidP="00B83EFB">
            <w:pPr>
              <w:rPr>
                <w:rFonts w:ascii="Cambria" w:hAnsi="Cambria"/>
                <w:sz w:val="20"/>
                <w:szCs w:val="20"/>
              </w:rPr>
            </w:pPr>
            <w:r w:rsidRPr="007653D5">
              <w:rPr>
                <w:rFonts w:ascii="Cambria" w:eastAsia="Times New Roman" w:hAnsi="Cambria"/>
                <w:sz w:val="20"/>
                <w:szCs w:val="20"/>
              </w:rPr>
              <w:t>Extended reality and immersive simulation</w:t>
            </w:r>
          </w:p>
        </w:tc>
        <w:tc>
          <w:tcPr>
            <w:tcW w:w="1200" w:type="pct"/>
          </w:tcPr>
          <w:p w14:paraId="1B8A1026" w14:textId="77777777" w:rsidR="007653D5" w:rsidRPr="007653D5" w:rsidRDefault="007653D5" w:rsidP="00B83EFB">
            <w:pPr>
              <w:rPr>
                <w:rFonts w:ascii="Cambria" w:hAnsi="Cambria"/>
                <w:sz w:val="20"/>
                <w:szCs w:val="20"/>
              </w:rPr>
            </w:pPr>
            <w:r w:rsidRPr="007653D5">
              <w:rPr>
                <w:rFonts w:ascii="Cambria" w:eastAsia="Times New Roman" w:hAnsi="Cambria"/>
                <w:sz w:val="20"/>
                <w:szCs w:val="20"/>
              </w:rPr>
              <w:t>Lampropoulos (2025); Lázaro &amp; Duart (2023)</w:t>
            </w:r>
          </w:p>
        </w:tc>
        <w:tc>
          <w:tcPr>
            <w:tcW w:w="1000" w:type="pct"/>
          </w:tcPr>
          <w:p w14:paraId="1A9A3369" w14:textId="77777777" w:rsidR="007653D5" w:rsidRPr="007653D5" w:rsidRDefault="007653D5" w:rsidP="00B83EFB">
            <w:pPr>
              <w:rPr>
                <w:rFonts w:ascii="Cambria" w:hAnsi="Cambria"/>
                <w:sz w:val="20"/>
                <w:szCs w:val="20"/>
              </w:rPr>
            </w:pPr>
            <w:r w:rsidRPr="007653D5">
              <w:rPr>
                <w:rFonts w:ascii="Cambria" w:eastAsia="Times New Roman" w:hAnsi="Cambria"/>
                <w:sz w:val="20"/>
                <w:szCs w:val="20"/>
              </w:rPr>
              <w:t>AR, VR, mixed reality</w:t>
            </w:r>
          </w:p>
        </w:tc>
        <w:tc>
          <w:tcPr>
            <w:tcW w:w="1000" w:type="pct"/>
          </w:tcPr>
          <w:p w14:paraId="28B30010" w14:textId="77777777" w:rsidR="007653D5" w:rsidRPr="007653D5" w:rsidRDefault="007653D5" w:rsidP="00B83EFB">
            <w:pPr>
              <w:rPr>
                <w:rFonts w:ascii="Cambria" w:hAnsi="Cambria"/>
                <w:sz w:val="20"/>
                <w:szCs w:val="20"/>
              </w:rPr>
            </w:pPr>
            <w:r w:rsidRPr="007653D5">
              <w:rPr>
                <w:rFonts w:ascii="Cambria" w:eastAsia="Times New Roman" w:hAnsi="Cambria"/>
                <w:sz w:val="20"/>
                <w:szCs w:val="20"/>
              </w:rPr>
              <w:t>Safe practice of high-risk skills; deeper spatial understanding</w:t>
            </w:r>
          </w:p>
        </w:tc>
        <w:tc>
          <w:tcPr>
            <w:tcW w:w="1000" w:type="pct"/>
          </w:tcPr>
          <w:p w14:paraId="76163323" w14:textId="77777777" w:rsidR="007653D5" w:rsidRPr="007653D5" w:rsidRDefault="007653D5" w:rsidP="00B83EFB">
            <w:pPr>
              <w:rPr>
                <w:rFonts w:ascii="Cambria" w:hAnsi="Cambria"/>
                <w:sz w:val="20"/>
                <w:szCs w:val="20"/>
              </w:rPr>
            </w:pPr>
            <w:r w:rsidRPr="007653D5">
              <w:rPr>
                <w:rFonts w:ascii="Cambria" w:eastAsia="Times New Roman" w:hAnsi="Cambria"/>
                <w:sz w:val="20"/>
                <w:szCs w:val="20"/>
              </w:rPr>
              <w:t>High implementation cost; hardware access disparities</w:t>
            </w:r>
          </w:p>
        </w:tc>
      </w:tr>
      <w:tr w:rsidR="007653D5" w:rsidRPr="007653D5" w14:paraId="4B1463EE" w14:textId="77777777" w:rsidTr="00B83EFB">
        <w:tc>
          <w:tcPr>
            <w:tcW w:w="800" w:type="pct"/>
          </w:tcPr>
          <w:p w14:paraId="4AF4BE54" w14:textId="77777777" w:rsidR="007653D5" w:rsidRPr="007653D5" w:rsidRDefault="007653D5" w:rsidP="00B83EFB">
            <w:pPr>
              <w:rPr>
                <w:rFonts w:ascii="Cambria" w:hAnsi="Cambria"/>
                <w:sz w:val="20"/>
                <w:szCs w:val="20"/>
              </w:rPr>
            </w:pPr>
            <w:r w:rsidRPr="007653D5">
              <w:rPr>
                <w:rFonts w:ascii="Cambria" w:eastAsia="Times New Roman" w:hAnsi="Cambria"/>
                <w:sz w:val="20"/>
                <w:szCs w:val="20"/>
              </w:rPr>
              <w:t>Digital twins and game-based engineering education</w:t>
            </w:r>
          </w:p>
        </w:tc>
        <w:tc>
          <w:tcPr>
            <w:tcW w:w="1200" w:type="pct"/>
          </w:tcPr>
          <w:p w14:paraId="2A367FDF" w14:textId="77777777" w:rsidR="007653D5" w:rsidRPr="007653D5" w:rsidRDefault="007653D5" w:rsidP="00B83EFB">
            <w:pPr>
              <w:rPr>
                <w:rFonts w:ascii="Cambria" w:hAnsi="Cambria"/>
                <w:sz w:val="20"/>
                <w:szCs w:val="20"/>
              </w:rPr>
            </w:pPr>
            <w:r w:rsidRPr="007653D5">
              <w:rPr>
                <w:rFonts w:ascii="Cambria" w:eastAsia="Times New Roman" w:hAnsi="Cambria"/>
                <w:sz w:val="20"/>
                <w:szCs w:val="20"/>
              </w:rPr>
              <w:t>Hazrat et al. (2023); Udeozor et al. (2023)</w:t>
            </w:r>
          </w:p>
        </w:tc>
        <w:tc>
          <w:tcPr>
            <w:tcW w:w="1000" w:type="pct"/>
          </w:tcPr>
          <w:p w14:paraId="07D4624F" w14:textId="77777777" w:rsidR="007653D5" w:rsidRPr="007653D5" w:rsidRDefault="007653D5" w:rsidP="00B83EFB">
            <w:pPr>
              <w:rPr>
                <w:rFonts w:ascii="Cambria" w:hAnsi="Cambria"/>
                <w:sz w:val="20"/>
                <w:szCs w:val="20"/>
              </w:rPr>
            </w:pPr>
            <w:r w:rsidRPr="007653D5">
              <w:rPr>
                <w:rFonts w:ascii="Cambria" w:eastAsia="Times New Roman" w:hAnsi="Cambria"/>
                <w:sz w:val="20"/>
                <w:szCs w:val="20"/>
              </w:rPr>
              <w:t>Digital-twin simulations; serious games</w:t>
            </w:r>
          </w:p>
        </w:tc>
        <w:tc>
          <w:tcPr>
            <w:tcW w:w="1000" w:type="pct"/>
          </w:tcPr>
          <w:p w14:paraId="79CC316F" w14:textId="77777777" w:rsidR="007653D5" w:rsidRPr="007653D5" w:rsidRDefault="007653D5" w:rsidP="00B83EFB">
            <w:pPr>
              <w:rPr>
                <w:rFonts w:ascii="Cambria" w:hAnsi="Cambria"/>
                <w:sz w:val="20"/>
                <w:szCs w:val="20"/>
              </w:rPr>
            </w:pPr>
            <w:r w:rsidRPr="007653D5">
              <w:rPr>
                <w:rFonts w:ascii="Cambria" w:eastAsia="Times New Roman" w:hAnsi="Cambria"/>
                <w:sz w:val="20"/>
                <w:szCs w:val="20"/>
              </w:rPr>
              <w:t>Risk-free experimentation; workforce-relevant skills</w:t>
            </w:r>
          </w:p>
        </w:tc>
        <w:tc>
          <w:tcPr>
            <w:tcW w:w="1000" w:type="pct"/>
          </w:tcPr>
          <w:p w14:paraId="29916D21" w14:textId="77777777" w:rsidR="007653D5" w:rsidRPr="007653D5" w:rsidRDefault="007653D5" w:rsidP="00B83EFB">
            <w:pPr>
              <w:rPr>
                <w:rFonts w:ascii="Cambria" w:hAnsi="Cambria"/>
                <w:sz w:val="20"/>
                <w:szCs w:val="20"/>
              </w:rPr>
            </w:pPr>
            <w:r w:rsidRPr="007653D5">
              <w:rPr>
                <w:rFonts w:ascii="Cambria" w:eastAsia="Times New Roman" w:hAnsi="Cambria"/>
                <w:sz w:val="20"/>
                <w:szCs w:val="20"/>
              </w:rPr>
              <w:t>Limited transfer evidence; technical infrastructure demands</w:t>
            </w:r>
          </w:p>
        </w:tc>
      </w:tr>
      <w:tr w:rsidR="007653D5" w:rsidRPr="007653D5" w14:paraId="1FE81F19" w14:textId="77777777" w:rsidTr="00B83EFB">
        <w:tc>
          <w:tcPr>
            <w:tcW w:w="800" w:type="pct"/>
          </w:tcPr>
          <w:p w14:paraId="684A6C3D" w14:textId="77777777" w:rsidR="007653D5" w:rsidRPr="007653D5" w:rsidRDefault="007653D5" w:rsidP="00B83EFB">
            <w:pPr>
              <w:rPr>
                <w:rFonts w:ascii="Cambria" w:hAnsi="Cambria"/>
                <w:sz w:val="20"/>
                <w:szCs w:val="20"/>
              </w:rPr>
            </w:pPr>
            <w:r w:rsidRPr="007653D5">
              <w:rPr>
                <w:rFonts w:ascii="Cambria" w:eastAsia="Times New Roman" w:hAnsi="Cambria"/>
                <w:sz w:val="20"/>
                <w:szCs w:val="20"/>
              </w:rPr>
              <w:t>Institutional digital transformation and digital literacy</w:t>
            </w:r>
          </w:p>
        </w:tc>
        <w:tc>
          <w:tcPr>
            <w:tcW w:w="1200" w:type="pct"/>
          </w:tcPr>
          <w:p w14:paraId="0A2744A5" w14:textId="77777777" w:rsidR="007653D5" w:rsidRPr="007653D5" w:rsidRDefault="007653D5" w:rsidP="00B83EFB">
            <w:pPr>
              <w:rPr>
                <w:rFonts w:ascii="Cambria" w:hAnsi="Cambria"/>
                <w:sz w:val="20"/>
                <w:szCs w:val="20"/>
              </w:rPr>
            </w:pPr>
            <w:proofErr w:type="spellStart"/>
            <w:r w:rsidRPr="007653D5">
              <w:rPr>
                <w:rFonts w:ascii="Cambria" w:eastAsia="Times New Roman" w:hAnsi="Cambria"/>
                <w:sz w:val="20"/>
                <w:szCs w:val="20"/>
              </w:rPr>
              <w:t>Alenezi</w:t>
            </w:r>
            <w:proofErr w:type="spellEnd"/>
            <w:r w:rsidRPr="007653D5">
              <w:rPr>
                <w:rFonts w:ascii="Cambria" w:eastAsia="Times New Roman" w:hAnsi="Cambria"/>
                <w:sz w:val="20"/>
                <w:szCs w:val="20"/>
              </w:rPr>
              <w:t xml:space="preserve"> et al. (2023); Farias-Gaytan et al. (2023); Otto et al. (2023); Samanta &amp; Banerjee (2025); </w:t>
            </w:r>
            <w:proofErr w:type="spellStart"/>
            <w:r w:rsidRPr="007653D5">
              <w:rPr>
                <w:rFonts w:ascii="Cambria" w:eastAsia="Times New Roman" w:hAnsi="Cambria"/>
                <w:sz w:val="20"/>
                <w:szCs w:val="20"/>
              </w:rPr>
              <w:t>Arviansyah</w:t>
            </w:r>
            <w:proofErr w:type="spellEnd"/>
            <w:r w:rsidRPr="007653D5">
              <w:rPr>
                <w:rFonts w:ascii="Cambria" w:eastAsia="Times New Roman" w:hAnsi="Cambria"/>
                <w:sz w:val="20"/>
                <w:szCs w:val="20"/>
              </w:rPr>
              <w:t xml:space="preserve"> et al. (2024)</w:t>
            </w:r>
          </w:p>
        </w:tc>
        <w:tc>
          <w:tcPr>
            <w:tcW w:w="1000" w:type="pct"/>
          </w:tcPr>
          <w:p w14:paraId="1F81114F" w14:textId="77777777" w:rsidR="007653D5" w:rsidRPr="007653D5" w:rsidRDefault="007653D5" w:rsidP="00B83EFB">
            <w:pPr>
              <w:rPr>
                <w:rFonts w:ascii="Cambria" w:hAnsi="Cambria"/>
                <w:sz w:val="20"/>
                <w:szCs w:val="20"/>
              </w:rPr>
            </w:pPr>
            <w:r w:rsidRPr="007653D5">
              <w:rPr>
                <w:rFonts w:ascii="Cambria" w:eastAsia="Times New Roman" w:hAnsi="Cambria"/>
                <w:sz w:val="20"/>
                <w:szCs w:val="20"/>
              </w:rPr>
              <w:t>Institutional platforms; digital-literacy programs; governance frameworks</w:t>
            </w:r>
          </w:p>
        </w:tc>
        <w:tc>
          <w:tcPr>
            <w:tcW w:w="1000" w:type="pct"/>
          </w:tcPr>
          <w:p w14:paraId="3581D359" w14:textId="77777777" w:rsidR="007653D5" w:rsidRPr="007653D5" w:rsidRDefault="007653D5" w:rsidP="00B83EFB">
            <w:pPr>
              <w:rPr>
                <w:rFonts w:ascii="Cambria" w:hAnsi="Cambria"/>
                <w:sz w:val="20"/>
                <w:szCs w:val="20"/>
              </w:rPr>
            </w:pPr>
            <w:r w:rsidRPr="007653D5">
              <w:rPr>
                <w:rFonts w:ascii="Cambria" w:eastAsia="Times New Roman" w:hAnsi="Cambria"/>
                <w:sz w:val="20"/>
                <w:szCs w:val="20"/>
              </w:rPr>
              <w:t>Broader access; organizational resilience</w:t>
            </w:r>
          </w:p>
        </w:tc>
        <w:tc>
          <w:tcPr>
            <w:tcW w:w="1000" w:type="pct"/>
          </w:tcPr>
          <w:p w14:paraId="5095DA64" w14:textId="77777777" w:rsidR="007653D5" w:rsidRPr="007653D5" w:rsidRDefault="007653D5" w:rsidP="00B83EFB">
            <w:pPr>
              <w:rPr>
                <w:rFonts w:ascii="Cambria" w:hAnsi="Cambria"/>
                <w:sz w:val="20"/>
                <w:szCs w:val="20"/>
              </w:rPr>
            </w:pPr>
            <w:r w:rsidRPr="007653D5">
              <w:rPr>
                <w:rFonts w:ascii="Cambria" w:eastAsia="Times New Roman" w:hAnsi="Cambria"/>
                <w:sz w:val="20"/>
                <w:szCs w:val="20"/>
              </w:rPr>
              <w:t>Equity gaps; faculty readiness; policy lag</w:t>
            </w:r>
          </w:p>
        </w:tc>
      </w:tr>
      <w:tr w:rsidR="007653D5" w:rsidRPr="007653D5" w14:paraId="4DD3275C" w14:textId="77777777" w:rsidTr="00B83EFB">
        <w:tc>
          <w:tcPr>
            <w:tcW w:w="800" w:type="pct"/>
          </w:tcPr>
          <w:p w14:paraId="26FDC3B9" w14:textId="77777777" w:rsidR="007653D5" w:rsidRPr="007653D5" w:rsidRDefault="007653D5" w:rsidP="00B83EFB">
            <w:pPr>
              <w:rPr>
                <w:rFonts w:ascii="Cambria" w:hAnsi="Cambria"/>
                <w:sz w:val="20"/>
                <w:szCs w:val="20"/>
              </w:rPr>
            </w:pPr>
            <w:r w:rsidRPr="007653D5">
              <w:rPr>
                <w:rFonts w:ascii="Cambria" w:eastAsia="Times New Roman" w:hAnsi="Cambria"/>
                <w:sz w:val="20"/>
                <w:szCs w:val="20"/>
              </w:rPr>
              <w:t>Technology-acceptance frameworks</w:t>
            </w:r>
          </w:p>
        </w:tc>
        <w:tc>
          <w:tcPr>
            <w:tcW w:w="1200" w:type="pct"/>
          </w:tcPr>
          <w:p w14:paraId="704A482D" w14:textId="77777777" w:rsidR="007653D5" w:rsidRPr="007653D5" w:rsidRDefault="007653D5" w:rsidP="00B83EFB">
            <w:pPr>
              <w:rPr>
                <w:rFonts w:ascii="Cambria" w:hAnsi="Cambria"/>
                <w:sz w:val="20"/>
                <w:szCs w:val="20"/>
              </w:rPr>
            </w:pPr>
            <w:r w:rsidRPr="007653D5">
              <w:rPr>
                <w:rFonts w:ascii="Cambria" w:eastAsia="Times New Roman" w:hAnsi="Cambria"/>
                <w:sz w:val="20"/>
                <w:szCs w:val="20"/>
              </w:rPr>
              <w:t xml:space="preserve">Xue et al. (2024); </w:t>
            </w:r>
            <w:proofErr w:type="spellStart"/>
            <w:r w:rsidRPr="007653D5">
              <w:rPr>
                <w:rFonts w:ascii="Cambria" w:eastAsia="Times New Roman" w:hAnsi="Cambria"/>
                <w:sz w:val="20"/>
                <w:szCs w:val="20"/>
              </w:rPr>
              <w:t>Almufarreh</w:t>
            </w:r>
            <w:proofErr w:type="spellEnd"/>
            <w:r w:rsidRPr="007653D5">
              <w:rPr>
                <w:rFonts w:ascii="Cambria" w:eastAsia="Times New Roman" w:hAnsi="Cambria"/>
                <w:sz w:val="20"/>
                <w:szCs w:val="20"/>
              </w:rPr>
              <w:t xml:space="preserve"> &amp; Arshad (2023); Aithal et al. (2024)</w:t>
            </w:r>
          </w:p>
        </w:tc>
        <w:tc>
          <w:tcPr>
            <w:tcW w:w="1000" w:type="pct"/>
          </w:tcPr>
          <w:p w14:paraId="6CBFDA7C" w14:textId="77777777" w:rsidR="007653D5" w:rsidRPr="007653D5" w:rsidRDefault="007653D5" w:rsidP="00B83EFB">
            <w:pPr>
              <w:rPr>
                <w:rFonts w:ascii="Cambria" w:hAnsi="Cambria"/>
                <w:sz w:val="20"/>
                <w:szCs w:val="20"/>
              </w:rPr>
            </w:pPr>
            <w:r w:rsidRPr="007653D5">
              <w:rPr>
                <w:rFonts w:ascii="Cambria" w:eastAsia="Times New Roman" w:hAnsi="Cambria"/>
                <w:sz w:val="20"/>
                <w:szCs w:val="20"/>
              </w:rPr>
              <w:t>UTAUT and related adoption models</w:t>
            </w:r>
          </w:p>
        </w:tc>
        <w:tc>
          <w:tcPr>
            <w:tcW w:w="1000" w:type="pct"/>
          </w:tcPr>
          <w:p w14:paraId="172DB5DE" w14:textId="77777777" w:rsidR="007653D5" w:rsidRPr="007653D5" w:rsidRDefault="007653D5" w:rsidP="00B83EFB">
            <w:pPr>
              <w:rPr>
                <w:rFonts w:ascii="Cambria" w:hAnsi="Cambria"/>
                <w:sz w:val="20"/>
                <w:szCs w:val="20"/>
              </w:rPr>
            </w:pPr>
            <w:r w:rsidRPr="007653D5">
              <w:rPr>
                <w:rFonts w:ascii="Cambria" w:eastAsia="Times New Roman" w:hAnsi="Cambria"/>
                <w:sz w:val="20"/>
                <w:szCs w:val="20"/>
              </w:rPr>
              <w:t>Explains adoption drivers; guides implementation strategy</w:t>
            </w:r>
          </w:p>
        </w:tc>
        <w:tc>
          <w:tcPr>
            <w:tcW w:w="1000" w:type="pct"/>
          </w:tcPr>
          <w:p w14:paraId="4FA6D200" w14:textId="77777777" w:rsidR="007653D5" w:rsidRPr="007653D5" w:rsidRDefault="007653D5" w:rsidP="00B83EFB">
            <w:pPr>
              <w:rPr>
                <w:rFonts w:ascii="Cambria" w:hAnsi="Cambria"/>
                <w:sz w:val="20"/>
                <w:szCs w:val="20"/>
              </w:rPr>
            </w:pPr>
            <w:r w:rsidRPr="007653D5">
              <w:rPr>
                <w:rFonts w:ascii="Cambria" w:eastAsia="Times New Roman" w:hAnsi="Cambria"/>
                <w:sz w:val="20"/>
                <w:szCs w:val="20"/>
              </w:rPr>
              <w:t>Frameworks lag emerging tools; limited longitudinal testing</w:t>
            </w:r>
          </w:p>
        </w:tc>
      </w:tr>
    </w:tbl>
    <w:p w14:paraId="3899DAB3" w14:textId="77777777" w:rsidR="007653D5" w:rsidRPr="007653D5" w:rsidRDefault="007653D5" w:rsidP="007653D5">
      <w:pPr>
        <w:spacing w:before="200"/>
        <w:rPr>
          <w:rFonts w:ascii="Cambria" w:hAnsi="Cambria"/>
          <w:sz w:val="20"/>
          <w:szCs w:val="20"/>
        </w:rPr>
      </w:pPr>
    </w:p>
    <w:p w14:paraId="5F2BEA47" w14:textId="77777777" w:rsidR="00E271BF" w:rsidRPr="009A1FCA" w:rsidRDefault="00E271BF" w:rsidP="00E271BF">
      <w:pPr>
        <w:ind w:firstLine="720"/>
        <w:jc w:val="both"/>
        <w:rPr>
          <w:rFonts w:ascii="Cambria" w:eastAsia="Times New Roman" w:hAnsi="Cambria"/>
          <w:sz w:val="20"/>
          <w:szCs w:val="20"/>
        </w:rPr>
      </w:pPr>
      <w:r>
        <w:rPr>
          <w:rFonts w:ascii="Cambria" w:eastAsia="Times New Roman" w:hAnsi="Cambria"/>
          <w:sz w:val="20"/>
          <w:szCs w:val="20"/>
        </w:rPr>
        <w:t>The thematic synthesis identified five dominant research streams in technology-based learning within higher education: AI-driven personalization, extended reality and immersive simulation, digital twins and game-based learning, institutional digital transformation and digital literacy, and technology-acceptance frameworks. Across the reviewed studies, artificial intelligence, including intelligent tutoring systems, adaptive learning platforms, and generative AI consistently enhanced personalized instruction, learner engagement, and assessment efficiency. Likewise, immersive technologies such as augmented reality, virtual reality, digital twins, and serious games strengthened experiential learning by improving conceptual understanding and practical competencies, particularly in disciplines requiring simulation-based training. Nevertheless, these innovations remain constrained by algorithmic transparency, academic-integrity concerns, high implementation costs, infrastructure limitations, and unequal access to digital resources.</w:t>
      </w:r>
    </w:p>
    <w:p w14:paraId="32C78D0C" w14:textId="77777777" w:rsidR="00E271BF" w:rsidRDefault="00E271BF" w:rsidP="00E271BF">
      <w:pPr>
        <w:ind w:firstLine="720"/>
        <w:jc w:val="both"/>
        <w:rPr>
          <w:rFonts w:ascii="Cambria" w:eastAsia="Times New Roman" w:hAnsi="Cambria"/>
          <w:sz w:val="20"/>
          <w:szCs w:val="20"/>
        </w:rPr>
      </w:pPr>
      <w:r>
        <w:rPr>
          <w:rFonts w:ascii="Cambria" w:eastAsia="Times New Roman" w:hAnsi="Cambria"/>
          <w:sz w:val="20"/>
          <w:szCs w:val="20"/>
        </w:rPr>
        <w:t>Beyond technological innovation, the findings demonstrate that successful technology integration depends on institutional readiness, digital literacy, and supportive governance. Studies employing the Unified Theory of Acceptance and Use of Technology (UTAUT) further indicate that perceived usefulness, ease of use, and organizational support are key determinants of technology adoption, although existing frameworks require refinement to address the rapid emergence of generative AI. Overall, the evidence suggests that technology-based learning positively influences student engagement, motivation, and learning outcomes; however, its long-term effectiveness relies on equitable digital infrastructure, pedagogically informed implementation, and adaptive institutional policies that ensure sustainable and inclusive digital transformation in higher education.</w:t>
      </w:r>
    </w:p>
    <w:p w14:paraId="2C7AC460" w14:textId="77777777" w:rsidR="00E271BF" w:rsidRPr="007653D5" w:rsidRDefault="00E271BF" w:rsidP="00E271BF">
      <w:pPr>
        <w:ind w:firstLine="720"/>
        <w:jc w:val="both"/>
        <w:rPr>
          <w:rFonts w:ascii="Cambria" w:hAnsi="Cambria"/>
          <w:sz w:val="20"/>
          <w:szCs w:val="20"/>
        </w:rPr>
      </w:pPr>
      <w:r>
        <w:rPr>
          <w:rFonts w:ascii="Cambria" w:eastAsia="Times New Roman" w:hAnsi="Cambria"/>
          <w:sz w:val="20"/>
          <w:szCs w:val="20"/>
        </w:rPr>
        <w:t>Artificial intelligence for personalization and intelligent tutoring. The largest and most rapidly growing theme in the reviewed corpus concerned AI-based personalization. Consistent with Feng et al. (2025), the reviewed studies indicated that performance expectancy and effort expectancy strongly influence whether faculty and students embrace AI-based tools, with ease of use often outweighing perceived sophistication as a driver of sustained use. Within medical education, AI applications were reported to support diagnostic reasoning and clinical-skill development while simultaneously raising concerns about overreliance and the erosion of independent clinical judgment (Mir et al., 2023). In language education, AI-enabled feedback tools were found to accelerate performance analysis and identify emerging pedagogical trends more efficiently than manual review, though questions remain about whether efficiency gains translate into durable language proficiency (Hasumi &amp; Chiu, 2024). Studies specifically addressing generative AI in science education highlighted its capacity to personalize explanations and pacing for individual learners, while cautioning that current evidence is dominated by short-term, single-institution studies with limited generalizability (Yılmaz, 2024). Taken together, these findings suggest that AI-driven personalization is best understood not as a single technology but as a family of tools whose effectiveness depends heavily on implementation quality, disciplinary context, and the extent to which instructors retain pedagogical oversight over automated processes.</w:t>
      </w:r>
    </w:p>
    <w:p w14:paraId="7CCC677F" w14:textId="77777777" w:rsidR="00E271BF" w:rsidRPr="007653D5" w:rsidRDefault="00E271BF" w:rsidP="00E271BF">
      <w:pPr>
        <w:ind w:firstLine="720"/>
        <w:jc w:val="both"/>
        <w:rPr>
          <w:rFonts w:ascii="Cambria" w:hAnsi="Cambria"/>
          <w:sz w:val="20"/>
          <w:szCs w:val="20"/>
        </w:rPr>
      </w:pPr>
      <w:r>
        <w:rPr>
          <w:rFonts w:ascii="Cambria" w:eastAsia="Times New Roman" w:hAnsi="Cambria"/>
          <w:sz w:val="20"/>
          <w:szCs w:val="20"/>
        </w:rPr>
        <w:t>Extended reality and immersive simulation. A second prominent theme concerned AR, VR, and mixed-reality applications, particularly for skill domains where real-world practice carries risk or resource constraints. Lampropoulos (2025) found that combining AI with AR and VR produces adaptive immersive environments capable of adjusting task difficulty in real time, a capability unavailable in earlier, non-adaptive XR systems. Lázaro and Duart (2023) similarly reported, through a systematic review of online higher education, that XR and AI technologies jointly support experiential learning at a distance, partially compensating for the loss of physical laboratory or clinical access in fully online programs. Across both studies, however, cost and hardware accessibility emerged as the most frequently cited barriers, suggesting that without deliberate investment, XR-based learning risks becoming concentrated in well-resourced institutions, thereby reproducing rather than reducing educational inequities.</w:t>
      </w:r>
    </w:p>
    <w:p w14:paraId="48AB5E0F" w14:textId="77777777" w:rsidR="00E271BF" w:rsidRPr="007653D5" w:rsidRDefault="00E271BF" w:rsidP="00E271BF">
      <w:pPr>
        <w:ind w:firstLine="720"/>
        <w:jc w:val="both"/>
        <w:rPr>
          <w:rFonts w:ascii="Cambria" w:hAnsi="Cambria"/>
          <w:sz w:val="20"/>
          <w:szCs w:val="20"/>
        </w:rPr>
      </w:pPr>
      <w:r>
        <w:rPr>
          <w:rFonts w:ascii="Cambria" w:eastAsia="Times New Roman" w:hAnsi="Cambria"/>
          <w:sz w:val="20"/>
          <w:szCs w:val="20"/>
        </w:rPr>
        <w:t>Digital twins and game-based engineering education. Engineering education emerged as a distinct site of technological innovation, centered on digital-twin simulations and serious games. Hazrat et al. (2023) demonstrated that digital-twin-based teaching platforms allow students to interact with virtual replicas of industrial equipment, closing the gap between classroom instruction and the technical competencies demanded by contemporary industry, particularly in contexts where physical equipment is expensive, outdated, or unsafe for student use. Complementing this, Udeozor et al. (2023) found that digital games in engineering education support systems-level thinking and procedural skill acquisition, although the authors cautioned that empirical evidence on long-term skill transfer to real workplace settings remains sparse. Both studies converge on the conclusion that simulation-based technologies are particularly well suited to competency domains that are difficult, costly, or hazardous to teach through direct physical practice, but that their pedagogical value depends on careful alignment with curricular learning outcomes rather than novelty alone.</w:t>
      </w:r>
    </w:p>
    <w:p w14:paraId="71444714" w14:textId="77777777" w:rsidR="00E271BF" w:rsidRPr="007653D5" w:rsidRDefault="00E271BF" w:rsidP="00E271BF">
      <w:pPr>
        <w:ind w:firstLine="720"/>
        <w:jc w:val="both"/>
        <w:rPr>
          <w:rFonts w:ascii="Cambria" w:hAnsi="Cambria"/>
          <w:sz w:val="20"/>
          <w:szCs w:val="20"/>
        </w:rPr>
      </w:pPr>
      <w:r>
        <w:rPr>
          <w:rFonts w:ascii="Cambria" w:eastAsia="Times New Roman" w:hAnsi="Cambria"/>
          <w:sz w:val="20"/>
          <w:szCs w:val="20"/>
        </w:rPr>
        <w:t xml:space="preserve">Institutional digital transformation and digital literacy. A substantial cluster of studies addressed digital transformation at the institutional level rather than at the level of individual tools. </w:t>
      </w:r>
      <w:proofErr w:type="spellStart"/>
      <w:r>
        <w:rPr>
          <w:rFonts w:ascii="Cambria" w:eastAsia="Times New Roman" w:hAnsi="Cambria"/>
          <w:sz w:val="20"/>
          <w:szCs w:val="20"/>
        </w:rPr>
        <w:t>Alenezi</w:t>
      </w:r>
      <w:proofErr w:type="spellEnd"/>
      <w:r>
        <w:rPr>
          <w:rFonts w:ascii="Cambria" w:eastAsia="Times New Roman" w:hAnsi="Cambria"/>
          <w:sz w:val="20"/>
          <w:szCs w:val="20"/>
        </w:rPr>
        <w:t xml:space="preserve"> et al. (2023) argued that integrating digital education into higher-education institutions requires simultaneous investment in infrastructure, faculty development, and curriculum redesign, cautioning that piecemeal technology adoption without institutional strategy tends to produce fragmented, unsustainable outcomes. Farias-Gaytan et al. (2023) extended this argument by foregrounding digital literacy as a precondition for effective technology use, noting that literacy gaps among both students and faculty can undermine the potential benefits of even well-designed digital tools. Otto et al. (2023), reviewing practices that emerged during the COVID-19 pandemic, found that student-centered digital practices, such as flexible pacing and multimodal content delivery, persisted beyond the emergency period, suggesting a lasting pedagogical legacy of pandemic-era innovation. Samanta and Banerjee (2025) and </w:t>
      </w:r>
      <w:proofErr w:type="spellStart"/>
      <w:r>
        <w:rPr>
          <w:rFonts w:ascii="Cambria" w:eastAsia="Times New Roman" w:hAnsi="Cambria"/>
          <w:sz w:val="20"/>
          <w:szCs w:val="20"/>
        </w:rPr>
        <w:t>Arviansyah</w:t>
      </w:r>
      <w:proofErr w:type="spellEnd"/>
      <w:r>
        <w:rPr>
          <w:rFonts w:ascii="Cambria" w:eastAsia="Times New Roman" w:hAnsi="Cambria"/>
          <w:sz w:val="20"/>
          <w:szCs w:val="20"/>
        </w:rPr>
        <w:t xml:space="preserve"> et al. (2024) further emphasized those institutional and national research agendas increasingly treat technological innovation as a strategic priority, though both cautioned that research on institutional transformation remains more conceptual than empirical, leaving open questions about which specific institutional practices most reliably translate digital investment into improved learning outcomes.</w:t>
      </w:r>
    </w:p>
    <w:p w14:paraId="6367BE1A" w14:textId="77777777" w:rsidR="00E271BF" w:rsidRPr="007653D5" w:rsidRDefault="00E271BF" w:rsidP="00E271BF">
      <w:pPr>
        <w:ind w:firstLine="720"/>
        <w:jc w:val="both"/>
        <w:rPr>
          <w:rFonts w:ascii="Cambria" w:hAnsi="Cambria"/>
          <w:sz w:val="20"/>
          <w:szCs w:val="20"/>
        </w:rPr>
      </w:pPr>
      <w:r>
        <w:rPr>
          <w:rFonts w:ascii="Cambria" w:eastAsia="Times New Roman" w:hAnsi="Cambria"/>
          <w:sz w:val="20"/>
          <w:szCs w:val="20"/>
        </w:rPr>
        <w:t xml:space="preserve">Technology-acceptance frameworks and adoption barriers. Finally, a group of studies applied or extended established technology-acceptance theories to explain adoption patterns. Xue et al. (2024) conducted a systematic review of UTAUT applications in higher education, confirming that performance expectancy and facilitating conditions remain the strongest predictors of technology adoption across diverse institutional contexts, while also noting that the model requires adaptation to account for AI-specific concerns such as trust and perceived fairness. </w:t>
      </w:r>
      <w:proofErr w:type="spellStart"/>
      <w:r>
        <w:rPr>
          <w:rFonts w:ascii="Cambria" w:eastAsia="Times New Roman" w:hAnsi="Cambria"/>
          <w:sz w:val="20"/>
          <w:szCs w:val="20"/>
        </w:rPr>
        <w:t>Almufarreh</w:t>
      </w:r>
      <w:proofErr w:type="spellEnd"/>
      <w:r>
        <w:rPr>
          <w:rFonts w:ascii="Cambria" w:eastAsia="Times New Roman" w:hAnsi="Cambria"/>
          <w:sz w:val="20"/>
          <w:szCs w:val="20"/>
        </w:rPr>
        <w:t xml:space="preserve"> and Arshad (2023) cataloged emerging technologies alongside persistent adoption challenges, including cost, training deficits, and resistance to pedagogical change, while Aithal et al. (2024) offered forward-looking predictions suggesting that future adoption will depend heavily on institutions' capacity to build AI literacy among faculty, not merely among students.</w:t>
      </w:r>
    </w:p>
    <w:p w14:paraId="1DF4E4C2" w14:textId="77777777" w:rsidR="00E271BF" w:rsidRPr="007653D5" w:rsidRDefault="00E271BF" w:rsidP="00E271BF">
      <w:pPr>
        <w:ind w:firstLine="720"/>
        <w:jc w:val="both"/>
        <w:rPr>
          <w:rFonts w:ascii="Cambria" w:hAnsi="Cambria"/>
          <w:sz w:val="20"/>
          <w:szCs w:val="20"/>
        </w:rPr>
      </w:pPr>
      <w:r>
        <w:rPr>
          <w:rFonts w:ascii="Cambria" w:eastAsia="Times New Roman" w:hAnsi="Cambria"/>
          <w:sz w:val="20"/>
          <w:szCs w:val="20"/>
        </w:rPr>
        <w:t>Cross-cutting patterns and discussion. Reading across these five themes reveals several cross-cutting patterns. First, nearly all reviewed studies reported improvements in engagement or motivation associated with technology use, but effects on deeper cognitive or skill-based outcomes were more variable and more strongly moderated by implementation quality than by the technology itself. This pattern echoes earlier research on educational technology more broadly and suggests that the specific tool matters less than how it is integrated into pedagogical design. Second, equity considerations recur across nearly every theme, whether framed as hardware access in XR contexts, digital-literacy gaps in institutional transformation research, or uneven AI-training data quality; this recurrence suggests that equity is not a peripheral concern but a structural feature of technology-based learning that warrants explicit attention in future research and institutional planning. Third, the reviewed literature is still dominated by short-term, cross-sectional studies; longitudinal evidence tracking how technology-supported learning gains persist, or fade, over a student's academic trajectory remains scarce, representing a clear priority for future research. Finally, several studies noted that existing technology-acceptance frameworks, while useful, were developed prior to the generative AI era and may require theoretical refinement to adequately capture trust, authorship, and academic-integrity concerns specific to generative tools. Collectively, these findings suggest that technology-based learning in higher education has moved decisively beyond a phase of experimentation into one of institutionalization, but that realizing its full potential will require closing persistent gaps in longitudinal evidence, equitable access, and updated theoretical frameworks capable of accounting for increasingly autonomous and adaptive educational technologies.</w:t>
      </w:r>
    </w:p>
    <w:p w14:paraId="56F89CE0" w14:textId="77777777" w:rsidR="00E271BF" w:rsidRPr="007653D5" w:rsidRDefault="00E271BF" w:rsidP="00E271BF">
      <w:pPr>
        <w:ind w:firstLine="720"/>
        <w:jc w:val="both"/>
        <w:rPr>
          <w:rFonts w:ascii="Cambria" w:hAnsi="Cambria"/>
          <w:sz w:val="20"/>
          <w:szCs w:val="20"/>
        </w:rPr>
      </w:pPr>
      <w:r>
        <w:rPr>
          <w:rFonts w:ascii="Cambria" w:eastAsia="Times New Roman" w:hAnsi="Cambria"/>
          <w:sz w:val="20"/>
          <w:szCs w:val="20"/>
        </w:rPr>
        <w:t xml:space="preserve">Broader syntheses reinforce these cross-cutting patterns. Luo et al. (2025) similarly found that AI-based learning tools improve personalization and assessment efficiency but remain constrained by inconsistent evaluation methods across studies, echoing the algorithmic-transparency concerns raised under the AI-personalization theme above. Matos et al. (2025) and Makwana (2025) documented parallel shifts in student demographics, workforce expectations, and institutional priorities that reinforce the institutional-digital-transformation theme, underscoring that technology adoption decisions are increasingly shaped by forces external to any single classroom or discipline. </w:t>
      </w:r>
      <w:proofErr w:type="spellStart"/>
      <w:r>
        <w:rPr>
          <w:rFonts w:ascii="Cambria" w:eastAsia="Times New Roman" w:hAnsi="Cambria"/>
          <w:sz w:val="20"/>
          <w:szCs w:val="20"/>
        </w:rPr>
        <w:t>Sulisworo</w:t>
      </w:r>
      <w:proofErr w:type="spellEnd"/>
      <w:r>
        <w:rPr>
          <w:rFonts w:ascii="Cambria" w:eastAsia="Times New Roman" w:hAnsi="Cambria"/>
          <w:sz w:val="20"/>
          <w:szCs w:val="20"/>
        </w:rPr>
        <w:t xml:space="preserve"> et al. (2025) further situated these trends within a global comparative perspective, finding that adoption patterns vary considerably by regional infrastructure and policy context, a finding that reinforces the equity concerns identified as a structural, cross-cutting feature of technology-based learning throughout this review.</w:t>
      </w:r>
    </w:p>
    <w:p w14:paraId="5CF06929" w14:textId="1AA71245" w:rsidR="00C56400" w:rsidRPr="00C56400" w:rsidRDefault="00E271BF" w:rsidP="00E271BF">
      <w:pPr>
        <w:pStyle w:val="NormalWeb"/>
        <w:spacing w:before="0" w:beforeAutospacing="0" w:after="0" w:afterAutospacing="0"/>
        <w:ind w:firstLine="720"/>
        <w:jc w:val="both"/>
        <w:rPr>
          <w:rFonts w:ascii="Cambria" w:hAnsi="Cambria"/>
          <w:sz w:val="20"/>
          <w:szCs w:val="20"/>
        </w:rPr>
      </w:pPr>
      <w:r>
        <w:rPr>
          <w:rFonts w:ascii="Cambria" w:hAnsi="Cambria"/>
          <w:sz w:val="20"/>
          <w:szCs w:val="20"/>
        </w:rPr>
        <w:t xml:space="preserve">Future perspectives and implications for practice. Building on these cross-cutting patterns, several implications emerge for institutional practice and future research. First, institutions seeking to scale AI-driven personalization should pair tool adoption with explicit faculty development on interpreting and overseeing algorithmic outputs, since several reviewed studies attributed disappointing outcomes not to the technology itself but to insufficient instructor preparation for supervising AI-mediated instruction. Second, given the recurring cost and access barriers associated with XR and digital-twin technologies, institutions in resource-constrained settings may benefit more from shared regional infrastructure, such as consortium-based simulation </w:t>
      </w:r>
      <w:proofErr w:type="spellStart"/>
      <w:r>
        <w:rPr>
          <w:rFonts w:ascii="Cambria" w:hAnsi="Cambria"/>
          <w:sz w:val="20"/>
          <w:szCs w:val="20"/>
        </w:rPr>
        <w:t>centers</w:t>
      </w:r>
      <w:proofErr w:type="spellEnd"/>
      <w:r>
        <w:rPr>
          <w:rFonts w:ascii="Cambria" w:hAnsi="Cambria"/>
          <w:sz w:val="20"/>
          <w:szCs w:val="20"/>
        </w:rPr>
        <w:t>, than from isolated institutional investment, a strategy hinted at but not fully elaborated in the reviewed engineering-education literature. Third, because digital-literacy gaps were repeatedly identified as a precondition for effective technology use, institutional digital-transformation strategies should treat literacy development as a parallel, ongoing investment rather than a one-time onboarding exercise, particularly for non-traditional and first-generation student populations. Fourth, the limited longitudinal evidence identified across all five themes points to a clear methodological priority for future research: multi-year, multi-institutional studies capable of distinguishing durable learning gains from short-term novelty effects. Finally, as generative AI continues to reshape assessment design, academic-integrity policy, and the boundaries of independent student work, future research would benefit from extending technology-acceptance frameworks such as UTAUT to explicitly incorporate constructs of trust, perceived authorship, and fairness, an extension that several reviewed studies called for but that remains largely unrealized in the current literature. Addressing these priorities would help ensure that the next generation of technology-based learning research moves beyond documenting adoption and engagement toward more rigorously establishing which combinations of technology, pedagogy, and institutional support most reliably translate into equitable, durable learning outcomes</w:t>
      </w:r>
    </w:p>
    <w:p w14:paraId="114C48D4" w14:textId="77777777" w:rsidR="005A1B45" w:rsidRDefault="005A1B45" w:rsidP="005A1B45">
      <w:pPr>
        <w:jc w:val="both"/>
        <w:rPr>
          <w:rFonts w:ascii="Cambria" w:hAnsi="Cambria"/>
          <w:sz w:val="20"/>
          <w:szCs w:val="20"/>
        </w:rPr>
      </w:pPr>
    </w:p>
    <w:p w14:paraId="717293DB" w14:textId="469912BA" w:rsidR="00424E3B" w:rsidRPr="00C56400" w:rsidRDefault="00E711A7" w:rsidP="00C56400">
      <w:pPr>
        <w:pStyle w:val="ListParagraph"/>
        <w:numPr>
          <w:ilvl w:val="0"/>
          <w:numId w:val="1"/>
        </w:numPr>
        <w:spacing w:after="120"/>
        <w:ind w:left="284" w:hanging="284"/>
        <w:rPr>
          <w:rFonts w:ascii="Cambria" w:hAnsi="Cambria"/>
          <w:color w:val="000000"/>
          <w:sz w:val="20"/>
          <w:szCs w:val="20"/>
        </w:rPr>
      </w:pPr>
      <w:r w:rsidRPr="00D43B89">
        <w:rPr>
          <w:rFonts w:ascii="Cambria" w:hAnsi="Cambria"/>
          <w:b/>
          <w:color w:val="000000"/>
          <w:sz w:val="20"/>
          <w:szCs w:val="20"/>
          <w:lang w:val="en-US" w:eastAsia="ja-JP"/>
        </w:rPr>
        <w:t>CONCLUSION</w:t>
      </w:r>
    </w:p>
    <w:p w14:paraId="79139B3D" w14:textId="77777777" w:rsidR="00E271BF" w:rsidRDefault="00E271BF" w:rsidP="00E271BF">
      <w:pPr>
        <w:pStyle w:val="NormalWeb"/>
        <w:spacing w:before="0" w:beforeAutospacing="0" w:after="0" w:afterAutospacing="0"/>
        <w:ind w:firstLine="720"/>
        <w:jc w:val="both"/>
        <w:rPr>
          <w:rFonts w:ascii="Cambria" w:hAnsi="Cambria"/>
          <w:bCs/>
          <w:color w:val="000000"/>
          <w:sz w:val="20"/>
          <w:szCs w:val="20"/>
          <w:lang w:val="fi-FI" w:bidi="en-US"/>
        </w:rPr>
      </w:pPr>
      <w:r>
        <w:rPr>
          <w:rFonts w:ascii="Cambria" w:hAnsi="Cambria"/>
          <w:sz w:val="20"/>
          <w:szCs w:val="20"/>
        </w:rPr>
        <w:t>This systematic review synthesized 25 recent studies to map current trends and future perspectives of technology-based learning in higher education, identifying five interconnected themes: AI-driven personalization, extended reality and immersive simulation, digital-twin and game-based engineering education, institutional digital transformation and digital literacy, and technology-acceptance frameworks. Across these themes, technology-based learning consistently enhances engagement and motivation, while its effects on deeper cognitive and skill-based outcomes depend heavily on implementation quality, disciplinary context, and institutional support rather than on the novelty of the technology itself. Equity and digital-literacy gaps emerged as structural, cross-cutting concerns rather than isolated issues, and the literature remains constrained by a shortage of longitudinal evidence and by technology-acceptance frameworks that have not yet fully adapted to the generative AI era. By integrating these previously fragmented strands of research into a single analytic framework, this review offers higher-education researchers, instructional designers, and institutional leaders a clearer, more current basis for aligning technology investment with pedagogical and equity goals. Future research should prioritize longitudinal, multi-institutional designs and theoretical extensions capable of capturing trust, authorship, and fairness in an educational landscape increasingly shaped by adaptive and generative technologies</w:t>
      </w:r>
      <w:r>
        <w:rPr>
          <w:rFonts w:ascii="Cambria" w:hAnsi="Cambria"/>
          <w:bCs/>
          <w:color w:val="000000"/>
          <w:sz w:val="20"/>
          <w:szCs w:val="20"/>
          <w:lang w:val="fi-FI" w:bidi="en-US"/>
        </w:rPr>
        <w:t>.</w:t>
      </w:r>
    </w:p>
    <w:p w14:paraId="3643AD95" w14:textId="77777777" w:rsidR="00E271BF" w:rsidRPr="00BA6A9B" w:rsidRDefault="00E271BF" w:rsidP="00E271BF">
      <w:pPr>
        <w:pStyle w:val="NormalWeb"/>
        <w:spacing w:before="0" w:beforeAutospacing="0" w:after="0" w:afterAutospacing="0"/>
        <w:ind w:firstLine="720"/>
        <w:jc w:val="both"/>
        <w:rPr>
          <w:rFonts w:ascii="Cambria" w:hAnsi="Cambria"/>
          <w:sz w:val="20"/>
          <w:szCs w:val="20"/>
        </w:rPr>
      </w:pPr>
    </w:p>
    <w:p w14:paraId="5AFECD68" w14:textId="77777777" w:rsidR="00E271BF" w:rsidRPr="00E271BF" w:rsidRDefault="00E271BF" w:rsidP="00E271BF">
      <w:pPr>
        <w:jc w:val="both"/>
        <w:rPr>
          <w:rFonts w:ascii="Cambria" w:hAnsi="Cambria"/>
          <w:bCs/>
          <w:color w:val="000000"/>
          <w:sz w:val="20"/>
          <w:szCs w:val="20"/>
          <w:lang w:val="fi-FI" w:bidi="en-US"/>
        </w:rPr>
      </w:pPr>
      <w:r w:rsidRPr="00E271BF">
        <w:rPr>
          <w:rFonts w:ascii="Cambria" w:hAnsi="Cambria"/>
          <w:b/>
          <w:sz w:val="20"/>
          <w:szCs w:val="20"/>
        </w:rPr>
        <w:t xml:space="preserve">Funding: </w:t>
      </w:r>
      <w:r w:rsidRPr="00E271BF">
        <w:rPr>
          <w:rFonts w:ascii="Cambria" w:hAnsi="Cambria"/>
          <w:sz w:val="20"/>
          <w:szCs w:val="20"/>
        </w:rPr>
        <w:t>This research received no specific grant from any funding agency in the public, commercial, or not-for-profit sectors.</w:t>
      </w:r>
    </w:p>
    <w:p w14:paraId="2A5E18F7" w14:textId="77777777" w:rsidR="00E271BF" w:rsidRPr="00E271BF" w:rsidRDefault="00E271BF" w:rsidP="00E271BF">
      <w:pPr>
        <w:spacing w:after="60"/>
        <w:jc w:val="both"/>
        <w:rPr>
          <w:rFonts w:ascii="Cambria" w:hAnsi="Cambria"/>
          <w:sz w:val="20"/>
          <w:szCs w:val="20"/>
        </w:rPr>
      </w:pPr>
      <w:r w:rsidRPr="00E271BF">
        <w:rPr>
          <w:rFonts w:ascii="Cambria" w:hAnsi="Cambria"/>
          <w:b/>
          <w:sz w:val="20"/>
          <w:szCs w:val="20"/>
        </w:rPr>
        <w:t xml:space="preserve">Conflict of Interest: </w:t>
      </w:r>
      <w:r w:rsidRPr="00E271BF">
        <w:rPr>
          <w:rFonts w:ascii="Cambria" w:hAnsi="Cambria"/>
          <w:sz w:val="20"/>
          <w:szCs w:val="20"/>
        </w:rPr>
        <w:t>The author declares no conflict of interest.</w:t>
      </w:r>
    </w:p>
    <w:p w14:paraId="306D99D4" w14:textId="1667B7D6" w:rsidR="00964EAB" w:rsidRPr="00E271BF" w:rsidRDefault="00E271BF" w:rsidP="00E271BF">
      <w:pPr>
        <w:spacing w:after="60"/>
        <w:jc w:val="both"/>
        <w:rPr>
          <w:rFonts w:ascii="Cambria" w:hAnsi="Cambria"/>
          <w:sz w:val="20"/>
          <w:szCs w:val="20"/>
        </w:rPr>
      </w:pPr>
      <w:r w:rsidRPr="00E271BF">
        <w:rPr>
          <w:rFonts w:ascii="Cambria" w:hAnsi="Cambria"/>
          <w:b/>
          <w:sz w:val="20"/>
          <w:szCs w:val="20"/>
        </w:rPr>
        <w:t xml:space="preserve">Data Availability: </w:t>
      </w:r>
      <w:r w:rsidRPr="00E271BF">
        <w:rPr>
          <w:rFonts w:ascii="Cambria" w:hAnsi="Cambria"/>
          <w:sz w:val="20"/>
          <w:szCs w:val="20"/>
        </w:rPr>
        <w:t>The data extraction sheets supporting this review are available from the corresponding author upon reasonable request</w:t>
      </w:r>
      <w:r w:rsidR="00A52D9D">
        <w:rPr>
          <w:rFonts w:ascii="Cambria" w:hAnsi="Cambria"/>
          <w:sz w:val="20"/>
          <w:szCs w:val="20"/>
        </w:rPr>
        <w:t>.</w:t>
      </w:r>
    </w:p>
    <w:p w14:paraId="3A02DEC4" w14:textId="1B28CA5D" w:rsidR="00E34D26" w:rsidRDefault="00E34D26" w:rsidP="00E34D26">
      <w:pPr>
        <w:jc w:val="both"/>
        <w:rPr>
          <w:rFonts w:ascii="Cambria" w:hAnsi="Cambria"/>
          <w:b/>
          <w:color w:val="000000"/>
          <w:sz w:val="20"/>
          <w:szCs w:val="20"/>
          <w:highlight w:val="yellow"/>
        </w:rPr>
      </w:pPr>
    </w:p>
    <w:p w14:paraId="63698F88" w14:textId="77777777" w:rsidR="006C335A" w:rsidRPr="005B43AB" w:rsidRDefault="00E711A7" w:rsidP="00E34D26">
      <w:pPr>
        <w:pStyle w:val="ListParagraph"/>
        <w:numPr>
          <w:ilvl w:val="0"/>
          <w:numId w:val="1"/>
        </w:numPr>
        <w:spacing w:after="120"/>
        <w:ind w:left="284" w:hanging="284"/>
        <w:rPr>
          <w:rFonts w:ascii="Cambria" w:hAnsi="Cambria"/>
          <w:b/>
          <w:color w:val="000000"/>
          <w:sz w:val="20"/>
          <w:szCs w:val="20"/>
          <w:lang w:val="id-ID"/>
        </w:rPr>
      </w:pPr>
      <w:r w:rsidRPr="005B43AB">
        <w:rPr>
          <w:rFonts w:ascii="Cambria" w:hAnsi="Cambria"/>
          <w:b/>
          <w:color w:val="000000"/>
          <w:sz w:val="20"/>
          <w:szCs w:val="20"/>
        </w:rPr>
        <w:t>REFERENCES</w:t>
      </w:r>
    </w:p>
    <w:sdt>
      <w:sdtPr>
        <w:rPr>
          <w:rFonts w:ascii="Cambria" w:eastAsia="Times New Roman" w:hAnsi="Cambria"/>
          <w:color w:val="000000"/>
          <w:sz w:val="20"/>
        </w:rPr>
        <w:id w:val="-991794098"/>
        <w:bibliography/>
      </w:sdtPr>
      <w:sdtContent>
        <w:sdt>
          <w:sdtPr>
            <w:rPr>
              <w:rFonts w:ascii="Cambria" w:eastAsia="Times New Roman" w:hAnsi="Cambria"/>
              <w:color w:val="000000"/>
              <w:sz w:val="20"/>
            </w:rPr>
            <w:tag w:val="MENDELEY_BIBLIOGRAPHY"/>
            <w:id w:val="1405033771"/>
            <w:placeholder>
              <w:docPart w:val="DefaultPlaceholder_-1854013440"/>
            </w:placeholder>
          </w:sdtPr>
          <w:sdtContent>
            <w:p w14:paraId="138AE088" w14:textId="77777777" w:rsidR="007653D5" w:rsidRPr="007653D5" w:rsidRDefault="007C3CD7" w:rsidP="007653D5">
              <w:pPr>
                <w:widowControl w:val="0"/>
                <w:autoSpaceDE w:val="0"/>
                <w:autoSpaceDN w:val="0"/>
                <w:adjustRightInd w:val="0"/>
                <w:ind w:left="630" w:hanging="540"/>
                <w:jc w:val="both"/>
                <w:divId w:val="2137947776"/>
                <w:rPr>
                  <w:rFonts w:ascii="Cambria" w:eastAsia="Times New Roman" w:hAnsi="Cambria"/>
                  <w:color w:val="000000"/>
                  <w:sz w:val="20"/>
                </w:rPr>
              </w:pPr>
              <w:r w:rsidRPr="00016470">
                <w:rPr>
                  <w:rFonts w:ascii="Cambria" w:eastAsia="Times New Roman" w:hAnsi="Cambria"/>
                  <w:color w:val="000000"/>
                  <w:sz w:val="20"/>
                </w:rPr>
                <w:t> </w:t>
              </w:r>
              <w:r w:rsidR="007653D5" w:rsidRPr="007653D5">
                <w:rPr>
                  <w:rFonts w:ascii="Cambria" w:eastAsia="Times New Roman" w:hAnsi="Cambria"/>
                  <w:color w:val="000000"/>
                  <w:sz w:val="20"/>
                </w:rPr>
                <w:t>Aithal, P., Prabhu, S., &amp; Aithal, S. (2024). Future of higher education through technology prediction and forecasting. SSRN Electronic Journal. https://doi.org/10.2139/ssrn.4901474</w:t>
              </w:r>
            </w:p>
            <w:p w14:paraId="51D479E7" w14:textId="77777777" w:rsidR="007653D5" w:rsidRPr="007653D5" w:rsidRDefault="007653D5" w:rsidP="007653D5">
              <w:pPr>
                <w:widowControl w:val="0"/>
                <w:autoSpaceDE w:val="0"/>
                <w:autoSpaceDN w:val="0"/>
                <w:adjustRightInd w:val="0"/>
                <w:ind w:left="630" w:hanging="540"/>
                <w:jc w:val="both"/>
                <w:divId w:val="2137947776"/>
                <w:rPr>
                  <w:rFonts w:ascii="Cambria" w:eastAsia="Times New Roman" w:hAnsi="Cambria"/>
                  <w:color w:val="000000"/>
                  <w:sz w:val="20"/>
                </w:rPr>
              </w:pPr>
              <w:proofErr w:type="spellStart"/>
              <w:r w:rsidRPr="007653D5">
                <w:rPr>
                  <w:rFonts w:ascii="Cambria" w:eastAsia="Times New Roman" w:hAnsi="Cambria"/>
                  <w:color w:val="000000"/>
                  <w:sz w:val="20"/>
                </w:rPr>
                <w:t>Alenezi</w:t>
              </w:r>
              <w:proofErr w:type="spellEnd"/>
              <w:r w:rsidRPr="007653D5">
                <w:rPr>
                  <w:rFonts w:ascii="Cambria" w:eastAsia="Times New Roman" w:hAnsi="Cambria"/>
                  <w:color w:val="000000"/>
                  <w:sz w:val="20"/>
                </w:rPr>
                <w:t xml:space="preserve">, M., Wardat, S., &amp; </w:t>
              </w:r>
              <w:proofErr w:type="spellStart"/>
              <w:r w:rsidRPr="007653D5">
                <w:rPr>
                  <w:rFonts w:ascii="Cambria" w:eastAsia="Times New Roman" w:hAnsi="Cambria"/>
                  <w:color w:val="000000"/>
                  <w:sz w:val="20"/>
                </w:rPr>
                <w:t>Akour</w:t>
              </w:r>
              <w:proofErr w:type="spellEnd"/>
              <w:r w:rsidRPr="007653D5">
                <w:rPr>
                  <w:rFonts w:ascii="Cambria" w:eastAsia="Times New Roman" w:hAnsi="Cambria"/>
                  <w:color w:val="000000"/>
                  <w:sz w:val="20"/>
                </w:rPr>
                <w:t>, M. (2023). The need of integrating digital education in higher education: Challenges and opportunities. Sustainability, 15(6), Article 4782. https://doi.org/10.3390/su15064782</w:t>
              </w:r>
            </w:p>
            <w:p w14:paraId="5F556B1B" w14:textId="77777777" w:rsidR="007653D5" w:rsidRPr="007653D5" w:rsidRDefault="007653D5" w:rsidP="007653D5">
              <w:pPr>
                <w:widowControl w:val="0"/>
                <w:autoSpaceDE w:val="0"/>
                <w:autoSpaceDN w:val="0"/>
                <w:adjustRightInd w:val="0"/>
                <w:ind w:left="630" w:hanging="540"/>
                <w:jc w:val="both"/>
                <w:divId w:val="2137947776"/>
                <w:rPr>
                  <w:rFonts w:ascii="Cambria" w:eastAsia="Times New Roman" w:hAnsi="Cambria"/>
                  <w:color w:val="000000"/>
                  <w:sz w:val="20"/>
                </w:rPr>
              </w:pPr>
              <w:proofErr w:type="spellStart"/>
              <w:r w:rsidRPr="007653D5">
                <w:rPr>
                  <w:rFonts w:ascii="Cambria" w:eastAsia="Times New Roman" w:hAnsi="Cambria"/>
                  <w:color w:val="000000"/>
                  <w:sz w:val="20"/>
                </w:rPr>
                <w:t>Almufarreh</w:t>
              </w:r>
              <w:proofErr w:type="spellEnd"/>
              <w:r w:rsidRPr="007653D5">
                <w:rPr>
                  <w:rFonts w:ascii="Cambria" w:eastAsia="Times New Roman" w:hAnsi="Cambria"/>
                  <w:color w:val="000000"/>
                  <w:sz w:val="20"/>
                </w:rPr>
                <w:t>, A., &amp; Arshad, M. (2023). Promising emerging technologies for teaching and learning: Recent developments and future challenges. Sustainability, 15(8), Article 6917. https://doi.org/10.3390/su15086917</w:t>
              </w:r>
            </w:p>
            <w:p w14:paraId="6AFAE2FE" w14:textId="77777777" w:rsidR="007653D5" w:rsidRPr="007653D5" w:rsidRDefault="007653D5" w:rsidP="007653D5">
              <w:pPr>
                <w:widowControl w:val="0"/>
                <w:autoSpaceDE w:val="0"/>
                <w:autoSpaceDN w:val="0"/>
                <w:adjustRightInd w:val="0"/>
                <w:ind w:left="630" w:hanging="540"/>
                <w:jc w:val="both"/>
                <w:divId w:val="2137947776"/>
                <w:rPr>
                  <w:rFonts w:ascii="Cambria" w:eastAsia="Times New Roman" w:hAnsi="Cambria"/>
                  <w:color w:val="000000"/>
                  <w:sz w:val="20"/>
                </w:rPr>
              </w:pPr>
              <w:proofErr w:type="spellStart"/>
              <w:r w:rsidRPr="007653D5">
                <w:rPr>
                  <w:rFonts w:ascii="Cambria" w:eastAsia="Times New Roman" w:hAnsi="Cambria"/>
                  <w:color w:val="000000"/>
                  <w:sz w:val="20"/>
                </w:rPr>
                <w:t>Arviansyah</w:t>
              </w:r>
              <w:proofErr w:type="spellEnd"/>
              <w:r w:rsidRPr="007653D5">
                <w:rPr>
                  <w:rFonts w:ascii="Cambria" w:eastAsia="Times New Roman" w:hAnsi="Cambria"/>
                  <w:color w:val="000000"/>
                  <w:sz w:val="20"/>
                </w:rPr>
                <w:t xml:space="preserve">, M., Azis, Y., </w:t>
              </w:r>
              <w:proofErr w:type="spellStart"/>
              <w:r w:rsidRPr="007653D5">
                <w:rPr>
                  <w:rFonts w:ascii="Cambria" w:eastAsia="Times New Roman" w:hAnsi="Cambria"/>
                  <w:color w:val="000000"/>
                  <w:sz w:val="20"/>
                </w:rPr>
                <w:t>Sondari</w:t>
              </w:r>
              <w:proofErr w:type="spellEnd"/>
              <w:r w:rsidRPr="007653D5">
                <w:rPr>
                  <w:rFonts w:ascii="Cambria" w:eastAsia="Times New Roman" w:hAnsi="Cambria"/>
                  <w:color w:val="000000"/>
                  <w:sz w:val="20"/>
                </w:rPr>
                <w:t xml:space="preserve">, M., &amp; </w:t>
              </w:r>
              <w:proofErr w:type="spellStart"/>
              <w:r w:rsidRPr="007653D5">
                <w:rPr>
                  <w:rFonts w:ascii="Cambria" w:eastAsia="Times New Roman" w:hAnsi="Cambria"/>
                  <w:color w:val="000000"/>
                  <w:sz w:val="20"/>
                </w:rPr>
                <w:t>Harsanto</w:t>
              </w:r>
              <w:proofErr w:type="spellEnd"/>
              <w:r w:rsidRPr="007653D5">
                <w:rPr>
                  <w:rFonts w:ascii="Cambria" w:eastAsia="Times New Roman" w:hAnsi="Cambria"/>
                  <w:color w:val="000000"/>
                  <w:sz w:val="20"/>
                </w:rPr>
                <w:t>, B. (2024). Current trend and future research agenda for technological innovation in higher education institutions. Humanities and Social Sciences Communications, 11, Article 1614. https://doi.org/10.1057/s41599-024-04150-7</w:t>
              </w:r>
            </w:p>
            <w:p w14:paraId="35E3119A" w14:textId="77777777" w:rsidR="007653D5" w:rsidRPr="007653D5" w:rsidRDefault="007653D5" w:rsidP="007653D5">
              <w:pPr>
                <w:widowControl w:val="0"/>
                <w:autoSpaceDE w:val="0"/>
                <w:autoSpaceDN w:val="0"/>
                <w:adjustRightInd w:val="0"/>
                <w:ind w:left="630" w:hanging="540"/>
                <w:jc w:val="both"/>
                <w:divId w:val="2137947776"/>
                <w:rPr>
                  <w:rFonts w:ascii="Cambria" w:eastAsia="Times New Roman" w:hAnsi="Cambria"/>
                  <w:color w:val="000000"/>
                  <w:sz w:val="20"/>
                </w:rPr>
              </w:pPr>
              <w:r w:rsidRPr="007653D5">
                <w:rPr>
                  <w:rFonts w:ascii="Cambria" w:eastAsia="Times New Roman" w:hAnsi="Cambria"/>
                  <w:color w:val="000000"/>
                  <w:sz w:val="20"/>
                </w:rPr>
                <w:t xml:space="preserve">Bashir, S., &amp; </w:t>
              </w:r>
              <w:proofErr w:type="spellStart"/>
              <w:r w:rsidRPr="007653D5">
                <w:rPr>
                  <w:rFonts w:ascii="Cambria" w:eastAsia="Times New Roman" w:hAnsi="Cambria"/>
                  <w:color w:val="000000"/>
                  <w:sz w:val="20"/>
                </w:rPr>
                <w:t>Lapshun</w:t>
              </w:r>
              <w:proofErr w:type="spellEnd"/>
              <w:r w:rsidRPr="007653D5">
                <w:rPr>
                  <w:rFonts w:ascii="Cambria" w:eastAsia="Times New Roman" w:hAnsi="Cambria"/>
                  <w:color w:val="000000"/>
                  <w:sz w:val="20"/>
                </w:rPr>
                <w:t>, A. (2024). E-learning future trends in higher education in the 2020s and beyond. Cogent Education, 12(1). https://doi.org/10.1080/2331186X.2024.2445331</w:t>
              </w:r>
            </w:p>
            <w:p w14:paraId="63270700" w14:textId="77777777" w:rsidR="007653D5" w:rsidRPr="007653D5" w:rsidRDefault="007653D5" w:rsidP="007653D5">
              <w:pPr>
                <w:widowControl w:val="0"/>
                <w:autoSpaceDE w:val="0"/>
                <w:autoSpaceDN w:val="0"/>
                <w:adjustRightInd w:val="0"/>
                <w:ind w:left="630" w:hanging="540"/>
                <w:jc w:val="both"/>
                <w:divId w:val="2137947776"/>
                <w:rPr>
                  <w:rFonts w:ascii="Cambria" w:eastAsia="Times New Roman" w:hAnsi="Cambria"/>
                  <w:color w:val="000000"/>
                  <w:sz w:val="20"/>
                </w:rPr>
              </w:pPr>
              <w:r w:rsidRPr="007653D5">
                <w:rPr>
                  <w:rFonts w:ascii="Cambria" w:eastAsia="Times New Roman" w:hAnsi="Cambria"/>
                  <w:color w:val="000000"/>
                  <w:sz w:val="20"/>
                </w:rPr>
                <w:t xml:space="preserve">Farias-Gaytan, S., </w:t>
              </w:r>
              <w:proofErr w:type="spellStart"/>
              <w:r w:rsidRPr="007653D5">
                <w:rPr>
                  <w:rFonts w:ascii="Cambria" w:eastAsia="Times New Roman" w:hAnsi="Cambria"/>
                  <w:color w:val="000000"/>
                  <w:sz w:val="20"/>
                </w:rPr>
                <w:t>Aguaded</w:t>
              </w:r>
              <w:proofErr w:type="spellEnd"/>
              <w:r w:rsidRPr="007653D5">
                <w:rPr>
                  <w:rFonts w:ascii="Cambria" w:eastAsia="Times New Roman" w:hAnsi="Cambria"/>
                  <w:color w:val="000000"/>
                  <w:sz w:val="20"/>
                </w:rPr>
                <w:t>, I., &amp; Ramírez-Montoya, M. S. (2023). Digital transformation and digital literacy in the context of complexity within higher education institutions: A systematic literature review. Humanities and Social Sciences Communications, 10, Article 386. https://doi.org/10.1057/s41599-023-01875-9</w:t>
              </w:r>
            </w:p>
            <w:p w14:paraId="6B4484D5" w14:textId="77777777" w:rsidR="007653D5" w:rsidRPr="007653D5" w:rsidRDefault="007653D5" w:rsidP="007653D5">
              <w:pPr>
                <w:widowControl w:val="0"/>
                <w:autoSpaceDE w:val="0"/>
                <w:autoSpaceDN w:val="0"/>
                <w:adjustRightInd w:val="0"/>
                <w:ind w:left="630" w:hanging="540"/>
                <w:jc w:val="both"/>
                <w:divId w:val="2137947776"/>
                <w:rPr>
                  <w:rFonts w:ascii="Cambria" w:eastAsia="Times New Roman" w:hAnsi="Cambria"/>
                  <w:color w:val="000000"/>
                  <w:sz w:val="20"/>
                </w:rPr>
              </w:pPr>
              <w:r w:rsidRPr="007653D5">
                <w:rPr>
                  <w:rFonts w:ascii="Cambria" w:eastAsia="Times New Roman" w:hAnsi="Cambria"/>
                  <w:color w:val="000000"/>
                  <w:sz w:val="20"/>
                </w:rPr>
                <w:t>Feng, J., Yu, B., Tan, W. H., Dai, Z., &amp; Li, Z. (2025). Key factors influencing educational technology adoption in higher education: A systematic review. PLOS Digital Health, 4(4), Article e0000764. https://doi.org/10.1371/journal.pdig.0000764</w:t>
              </w:r>
            </w:p>
            <w:p w14:paraId="3EA8C68E" w14:textId="77777777" w:rsidR="007653D5" w:rsidRPr="007653D5" w:rsidRDefault="007653D5" w:rsidP="007653D5">
              <w:pPr>
                <w:widowControl w:val="0"/>
                <w:autoSpaceDE w:val="0"/>
                <w:autoSpaceDN w:val="0"/>
                <w:adjustRightInd w:val="0"/>
                <w:ind w:left="630" w:hanging="540"/>
                <w:jc w:val="both"/>
                <w:divId w:val="2137947776"/>
                <w:rPr>
                  <w:rFonts w:ascii="Cambria" w:eastAsia="Times New Roman" w:hAnsi="Cambria"/>
                  <w:color w:val="000000"/>
                  <w:sz w:val="20"/>
                </w:rPr>
              </w:pPr>
              <w:r w:rsidRPr="007653D5">
                <w:rPr>
                  <w:rFonts w:ascii="Cambria" w:eastAsia="Times New Roman" w:hAnsi="Cambria"/>
                  <w:color w:val="000000"/>
                  <w:sz w:val="20"/>
                </w:rPr>
                <w:t>Hasumi, T., &amp; Chiu, M.-S. (2024). Technology-enhanced language learning in English language education: Performance analysis, core publications, and emerging trends. Cogent Education, 11(1). https://doi.org/10.1080/2331186X.2024.2346044</w:t>
              </w:r>
            </w:p>
            <w:p w14:paraId="6BD61411" w14:textId="77777777" w:rsidR="007653D5" w:rsidRPr="007653D5" w:rsidRDefault="007653D5" w:rsidP="007653D5">
              <w:pPr>
                <w:widowControl w:val="0"/>
                <w:autoSpaceDE w:val="0"/>
                <w:autoSpaceDN w:val="0"/>
                <w:adjustRightInd w:val="0"/>
                <w:ind w:left="630" w:hanging="540"/>
                <w:jc w:val="both"/>
                <w:divId w:val="2137947776"/>
                <w:rPr>
                  <w:rFonts w:ascii="Cambria" w:eastAsia="Times New Roman" w:hAnsi="Cambria"/>
                  <w:color w:val="000000"/>
                  <w:sz w:val="20"/>
                </w:rPr>
              </w:pPr>
              <w:r w:rsidRPr="007653D5">
                <w:rPr>
                  <w:rFonts w:ascii="Cambria" w:eastAsia="Times New Roman" w:hAnsi="Cambria"/>
                  <w:color w:val="000000"/>
                  <w:sz w:val="20"/>
                </w:rPr>
                <w:t>Hazrat, M., Hassan, N., Chowdhury, A., Rasul, M., &amp; Taylor, B. (2023). Developing a skilled workforce for future industry demand: The potential of digital twin-based teaching and learning practices in engineering education. Sustainability, 15(23), Article 16433. https://doi.org/10.3390/su152316433</w:t>
              </w:r>
            </w:p>
            <w:p w14:paraId="0ECCD241" w14:textId="77777777" w:rsidR="007653D5" w:rsidRPr="007653D5" w:rsidRDefault="007653D5" w:rsidP="007653D5">
              <w:pPr>
                <w:widowControl w:val="0"/>
                <w:autoSpaceDE w:val="0"/>
                <w:autoSpaceDN w:val="0"/>
                <w:adjustRightInd w:val="0"/>
                <w:ind w:left="630" w:hanging="540"/>
                <w:jc w:val="both"/>
                <w:divId w:val="2137947776"/>
                <w:rPr>
                  <w:rFonts w:ascii="Cambria" w:eastAsia="Times New Roman" w:hAnsi="Cambria"/>
                  <w:color w:val="000000"/>
                  <w:sz w:val="20"/>
                </w:rPr>
              </w:pPr>
              <w:r w:rsidRPr="007653D5">
                <w:rPr>
                  <w:rFonts w:ascii="Cambria" w:eastAsia="Times New Roman" w:hAnsi="Cambria"/>
                  <w:color w:val="000000"/>
                  <w:sz w:val="20"/>
                </w:rPr>
                <w:t xml:space="preserve">Janahi, Y. M., </w:t>
              </w:r>
              <w:proofErr w:type="spellStart"/>
              <w:r w:rsidRPr="007653D5">
                <w:rPr>
                  <w:rFonts w:ascii="Cambria" w:eastAsia="Times New Roman" w:hAnsi="Cambria"/>
                  <w:color w:val="000000"/>
                  <w:sz w:val="20"/>
                </w:rPr>
                <w:t>Aldhaen</w:t>
              </w:r>
              <w:proofErr w:type="spellEnd"/>
              <w:r w:rsidRPr="007653D5">
                <w:rPr>
                  <w:rFonts w:ascii="Cambria" w:eastAsia="Times New Roman" w:hAnsi="Cambria"/>
                  <w:color w:val="000000"/>
                  <w:sz w:val="20"/>
                </w:rPr>
                <w:t xml:space="preserve">, E., Hamdan, A., &amp; </w:t>
              </w:r>
              <w:proofErr w:type="spellStart"/>
              <w:r w:rsidRPr="007653D5">
                <w:rPr>
                  <w:rFonts w:ascii="Cambria" w:eastAsia="Times New Roman" w:hAnsi="Cambria"/>
                  <w:color w:val="000000"/>
                  <w:sz w:val="20"/>
                </w:rPr>
                <w:t>Nureldeen</w:t>
              </w:r>
              <w:proofErr w:type="spellEnd"/>
              <w:r w:rsidRPr="007653D5">
                <w:rPr>
                  <w:rFonts w:ascii="Cambria" w:eastAsia="Times New Roman" w:hAnsi="Cambria"/>
                  <w:color w:val="000000"/>
                  <w:sz w:val="20"/>
                </w:rPr>
                <w:t>, W. (2023). Emerging technologies for digitalized learning in higher education. Development and Learning in Organizations. Advance online publication. https://doi.org/10.1108/DLO-09-2022-0183</w:t>
              </w:r>
            </w:p>
            <w:p w14:paraId="62AAC7AD" w14:textId="77777777" w:rsidR="007653D5" w:rsidRPr="007653D5" w:rsidRDefault="007653D5" w:rsidP="007653D5">
              <w:pPr>
                <w:widowControl w:val="0"/>
                <w:autoSpaceDE w:val="0"/>
                <w:autoSpaceDN w:val="0"/>
                <w:adjustRightInd w:val="0"/>
                <w:ind w:left="630" w:hanging="540"/>
                <w:jc w:val="both"/>
                <w:divId w:val="2137947776"/>
                <w:rPr>
                  <w:rFonts w:ascii="Cambria" w:eastAsia="Times New Roman" w:hAnsi="Cambria"/>
                  <w:color w:val="000000"/>
                  <w:sz w:val="20"/>
                </w:rPr>
              </w:pPr>
              <w:r w:rsidRPr="007653D5">
                <w:rPr>
                  <w:rFonts w:ascii="Cambria" w:eastAsia="Times New Roman" w:hAnsi="Cambria"/>
                  <w:color w:val="000000"/>
                  <w:sz w:val="20"/>
                </w:rPr>
                <w:t>Lampropoulos, G. (2025). Combining artificial intelligence with augmented reality and virtual reality in education: Current trends and future perspectives. Multimodal Technologies and Interaction, 9(2), Article 11. https://doi.org/10.3390/mti9020011</w:t>
              </w:r>
            </w:p>
            <w:p w14:paraId="4CBB1D4D" w14:textId="77777777" w:rsidR="007653D5" w:rsidRPr="007653D5" w:rsidRDefault="007653D5" w:rsidP="007653D5">
              <w:pPr>
                <w:widowControl w:val="0"/>
                <w:autoSpaceDE w:val="0"/>
                <w:autoSpaceDN w:val="0"/>
                <w:adjustRightInd w:val="0"/>
                <w:ind w:left="630" w:hanging="540"/>
                <w:jc w:val="both"/>
                <w:divId w:val="2137947776"/>
                <w:rPr>
                  <w:rFonts w:ascii="Cambria" w:eastAsia="Times New Roman" w:hAnsi="Cambria"/>
                  <w:color w:val="000000"/>
                  <w:sz w:val="20"/>
                </w:rPr>
              </w:pPr>
              <w:r w:rsidRPr="007653D5">
                <w:rPr>
                  <w:rFonts w:ascii="Cambria" w:eastAsia="Times New Roman" w:hAnsi="Cambria"/>
                  <w:color w:val="000000"/>
                  <w:sz w:val="20"/>
                </w:rPr>
                <w:t xml:space="preserve">Lázaro, R.-D., &amp; Duart, J. M. (2023). You can </w:t>
              </w:r>
              <w:proofErr w:type="gramStart"/>
              <w:r w:rsidRPr="007653D5">
                <w:rPr>
                  <w:rFonts w:ascii="Cambria" w:eastAsia="Times New Roman" w:hAnsi="Cambria"/>
                  <w:color w:val="000000"/>
                  <w:sz w:val="20"/>
                </w:rPr>
                <w:t>handle,</w:t>
              </w:r>
              <w:proofErr w:type="gramEnd"/>
              <w:r w:rsidRPr="007653D5">
                <w:rPr>
                  <w:rFonts w:ascii="Cambria" w:eastAsia="Times New Roman" w:hAnsi="Cambria"/>
                  <w:color w:val="000000"/>
                  <w:sz w:val="20"/>
                </w:rPr>
                <w:t xml:space="preserve"> you can teach it: Systematic review on the use of extended reality and artificial intelligence technologies for online higher education. Sustainability, 15(4), Article 3507. https://doi.org/10.3390/su15043507</w:t>
              </w:r>
            </w:p>
            <w:p w14:paraId="415FEA90" w14:textId="77777777" w:rsidR="007653D5" w:rsidRPr="007653D5" w:rsidRDefault="007653D5" w:rsidP="007653D5">
              <w:pPr>
                <w:widowControl w:val="0"/>
                <w:autoSpaceDE w:val="0"/>
                <w:autoSpaceDN w:val="0"/>
                <w:adjustRightInd w:val="0"/>
                <w:ind w:left="630" w:hanging="540"/>
                <w:jc w:val="both"/>
                <w:divId w:val="2137947776"/>
                <w:rPr>
                  <w:rFonts w:ascii="Cambria" w:eastAsia="Times New Roman" w:hAnsi="Cambria"/>
                  <w:color w:val="000000"/>
                  <w:sz w:val="20"/>
                </w:rPr>
              </w:pPr>
              <w:r w:rsidRPr="007653D5">
                <w:rPr>
                  <w:rFonts w:ascii="Cambria" w:eastAsia="Times New Roman" w:hAnsi="Cambria"/>
                  <w:color w:val="000000"/>
                  <w:sz w:val="20"/>
                </w:rPr>
                <w:t>Luo, J., Zheng, C., Yin, J., … Teo, H. H. (2025). Design and assessment of AI-based learning tools in higher education: A systematic review. International Journal of Educational Technology in Higher Education, 22, Article 42. https://doi.org/10.1186/s41239-025-00540-2</w:t>
              </w:r>
            </w:p>
            <w:p w14:paraId="17B67D1E" w14:textId="77777777" w:rsidR="007653D5" w:rsidRPr="007653D5" w:rsidRDefault="007653D5" w:rsidP="007653D5">
              <w:pPr>
                <w:widowControl w:val="0"/>
                <w:autoSpaceDE w:val="0"/>
                <w:autoSpaceDN w:val="0"/>
                <w:adjustRightInd w:val="0"/>
                <w:ind w:left="630" w:hanging="540"/>
                <w:jc w:val="both"/>
                <w:divId w:val="2137947776"/>
                <w:rPr>
                  <w:rFonts w:ascii="Cambria" w:eastAsia="Times New Roman" w:hAnsi="Cambria"/>
                  <w:color w:val="000000"/>
                  <w:sz w:val="20"/>
                </w:rPr>
              </w:pPr>
              <w:r w:rsidRPr="007653D5">
                <w:rPr>
                  <w:rFonts w:ascii="Cambria" w:eastAsia="Times New Roman" w:hAnsi="Cambria"/>
                  <w:color w:val="000000"/>
                  <w:sz w:val="20"/>
                </w:rPr>
                <w:t>Makwana, J. (2025). Current new trends in higher education. Journal of Emerging Technologies and Innovative Research, 12(8). https://doi.org/10.56975/jetir.v12i8.567917</w:t>
              </w:r>
            </w:p>
            <w:p w14:paraId="4EEAA377" w14:textId="77777777" w:rsidR="007653D5" w:rsidRPr="007653D5" w:rsidRDefault="007653D5" w:rsidP="007653D5">
              <w:pPr>
                <w:widowControl w:val="0"/>
                <w:autoSpaceDE w:val="0"/>
                <w:autoSpaceDN w:val="0"/>
                <w:adjustRightInd w:val="0"/>
                <w:ind w:left="630" w:hanging="540"/>
                <w:jc w:val="both"/>
                <w:divId w:val="2137947776"/>
                <w:rPr>
                  <w:rFonts w:ascii="Cambria" w:eastAsia="Times New Roman" w:hAnsi="Cambria"/>
                  <w:color w:val="000000"/>
                  <w:sz w:val="20"/>
                </w:rPr>
              </w:pPr>
              <w:r w:rsidRPr="007653D5">
                <w:rPr>
                  <w:rFonts w:ascii="Cambria" w:eastAsia="Times New Roman" w:hAnsi="Cambria"/>
                  <w:color w:val="000000"/>
                  <w:sz w:val="20"/>
                </w:rPr>
                <w:t>Matos, C., Agostinho, C., Fialho, J., Nascimento, M., &amp; Antunes, M. J. (2025). Emerging trends in higher education: Technological progress, shifts in student populations, and changing workforce needs. Journal of Information Systems Engineering and Management, 10(52s). https://doi.org/10.52783/jisem.v10i52s.10665</w:t>
              </w:r>
            </w:p>
            <w:p w14:paraId="1A8DF595" w14:textId="77777777" w:rsidR="007653D5" w:rsidRPr="007653D5" w:rsidRDefault="007653D5" w:rsidP="007653D5">
              <w:pPr>
                <w:widowControl w:val="0"/>
                <w:autoSpaceDE w:val="0"/>
                <w:autoSpaceDN w:val="0"/>
                <w:adjustRightInd w:val="0"/>
                <w:ind w:left="630" w:hanging="540"/>
                <w:jc w:val="both"/>
                <w:divId w:val="2137947776"/>
                <w:rPr>
                  <w:rFonts w:ascii="Cambria" w:eastAsia="Times New Roman" w:hAnsi="Cambria"/>
                  <w:color w:val="000000"/>
                  <w:sz w:val="20"/>
                </w:rPr>
              </w:pPr>
              <w:r w:rsidRPr="007653D5">
                <w:rPr>
                  <w:rFonts w:ascii="Cambria" w:eastAsia="Times New Roman" w:hAnsi="Cambria"/>
                  <w:color w:val="000000"/>
                  <w:sz w:val="20"/>
                </w:rPr>
                <w:t xml:space="preserve">Mir, M., Mir, G. M., Raina, N. T., Mir, S., Mir, S., </w:t>
              </w:r>
              <w:proofErr w:type="spellStart"/>
              <w:r w:rsidRPr="007653D5">
                <w:rPr>
                  <w:rFonts w:ascii="Cambria" w:eastAsia="Times New Roman" w:hAnsi="Cambria"/>
                  <w:color w:val="000000"/>
                  <w:sz w:val="20"/>
                </w:rPr>
                <w:t>Miskeen</w:t>
              </w:r>
              <w:proofErr w:type="spellEnd"/>
              <w:r w:rsidRPr="007653D5">
                <w:rPr>
                  <w:rFonts w:ascii="Cambria" w:eastAsia="Times New Roman" w:hAnsi="Cambria"/>
                  <w:color w:val="000000"/>
                  <w:sz w:val="20"/>
                </w:rPr>
                <w:t>, E., Alharthi, M., &amp; Alamri, M. (2023). Application of artificial intelligence in medical education: Current scenario and future perspectives. Journal of Advances in Medical Education &amp; Professionalism, 11(3), 133–140. https://doi.org/10.30476/jamp.2023.98655.1803</w:t>
              </w:r>
            </w:p>
            <w:p w14:paraId="53131771" w14:textId="77777777" w:rsidR="007653D5" w:rsidRPr="007653D5" w:rsidRDefault="007653D5" w:rsidP="007653D5">
              <w:pPr>
                <w:widowControl w:val="0"/>
                <w:autoSpaceDE w:val="0"/>
                <w:autoSpaceDN w:val="0"/>
                <w:adjustRightInd w:val="0"/>
                <w:ind w:left="630" w:hanging="540"/>
                <w:jc w:val="both"/>
                <w:divId w:val="2137947776"/>
                <w:rPr>
                  <w:rFonts w:ascii="Cambria" w:eastAsia="Times New Roman" w:hAnsi="Cambria"/>
                  <w:color w:val="000000"/>
                  <w:sz w:val="20"/>
                </w:rPr>
              </w:pPr>
              <w:r w:rsidRPr="007653D5">
                <w:rPr>
                  <w:rFonts w:ascii="Cambria" w:eastAsia="Times New Roman" w:hAnsi="Cambria"/>
                  <w:color w:val="000000"/>
                  <w:sz w:val="20"/>
                </w:rPr>
                <w:t>Otto, S., Bertel, L. B., Lyngdorf, N. E. R., Markman, A. O., Andersen, T., &amp; Ryberg, T. (2023). Emerging digital practices supporting student-centered learning environments in higher education: A review of literature and lessons learned from the Covid-19 pandemic. Education and Information Technologies, 28, 1–24. https://doi.org/10.1007/s10639-023-11789-3</w:t>
              </w:r>
            </w:p>
            <w:p w14:paraId="1E771A60" w14:textId="77777777" w:rsidR="007653D5" w:rsidRPr="007653D5" w:rsidRDefault="007653D5" w:rsidP="007653D5">
              <w:pPr>
                <w:widowControl w:val="0"/>
                <w:autoSpaceDE w:val="0"/>
                <w:autoSpaceDN w:val="0"/>
                <w:adjustRightInd w:val="0"/>
                <w:ind w:left="630" w:hanging="540"/>
                <w:jc w:val="both"/>
                <w:divId w:val="2137947776"/>
                <w:rPr>
                  <w:rFonts w:ascii="Cambria" w:eastAsia="Times New Roman" w:hAnsi="Cambria"/>
                  <w:color w:val="000000"/>
                  <w:sz w:val="20"/>
                </w:rPr>
              </w:pPr>
              <w:r w:rsidRPr="007653D5">
                <w:rPr>
                  <w:rFonts w:ascii="Cambria" w:eastAsia="Times New Roman" w:hAnsi="Cambria"/>
                  <w:color w:val="000000"/>
                  <w:sz w:val="20"/>
                </w:rPr>
                <w:t xml:space="preserve">Qolamani, K., &amp; Mohammed, M. (2023). The digital revolution in higher education: Transforming teaching and learning. QALAMUNA: </w:t>
              </w:r>
              <w:proofErr w:type="spellStart"/>
              <w:r w:rsidRPr="007653D5">
                <w:rPr>
                  <w:rFonts w:ascii="Cambria" w:eastAsia="Times New Roman" w:hAnsi="Cambria"/>
                  <w:color w:val="000000"/>
                  <w:sz w:val="20"/>
                </w:rPr>
                <w:t>Jurnal</w:t>
              </w:r>
              <w:proofErr w:type="spellEnd"/>
              <w:r w:rsidRPr="007653D5">
                <w:rPr>
                  <w:rFonts w:ascii="Cambria" w:eastAsia="Times New Roman" w:hAnsi="Cambria"/>
                  <w:color w:val="000000"/>
                  <w:sz w:val="20"/>
                </w:rPr>
                <w:t xml:space="preserve"> Pendidikan, </w:t>
              </w:r>
              <w:proofErr w:type="spellStart"/>
              <w:r w:rsidRPr="007653D5">
                <w:rPr>
                  <w:rFonts w:ascii="Cambria" w:eastAsia="Times New Roman" w:hAnsi="Cambria"/>
                  <w:color w:val="000000"/>
                  <w:sz w:val="20"/>
                </w:rPr>
                <w:t>Sosial</w:t>
              </w:r>
              <w:proofErr w:type="spellEnd"/>
              <w:r w:rsidRPr="007653D5">
                <w:rPr>
                  <w:rFonts w:ascii="Cambria" w:eastAsia="Times New Roman" w:hAnsi="Cambria"/>
                  <w:color w:val="000000"/>
                  <w:sz w:val="20"/>
                </w:rPr>
                <w:t>, dan Agama, 15(2). https://doi.org/10.37680/qalamuna.v15i2.3905</w:t>
              </w:r>
            </w:p>
            <w:p w14:paraId="5A3BA3EC" w14:textId="77777777" w:rsidR="007653D5" w:rsidRPr="007653D5" w:rsidRDefault="007653D5" w:rsidP="007653D5">
              <w:pPr>
                <w:widowControl w:val="0"/>
                <w:autoSpaceDE w:val="0"/>
                <w:autoSpaceDN w:val="0"/>
                <w:adjustRightInd w:val="0"/>
                <w:ind w:left="630" w:hanging="540"/>
                <w:jc w:val="both"/>
                <w:divId w:val="2137947776"/>
                <w:rPr>
                  <w:rFonts w:ascii="Cambria" w:eastAsia="Times New Roman" w:hAnsi="Cambria"/>
                  <w:color w:val="000000"/>
                  <w:sz w:val="20"/>
                </w:rPr>
              </w:pPr>
              <w:r w:rsidRPr="007653D5">
                <w:rPr>
                  <w:rFonts w:ascii="Cambria" w:eastAsia="Times New Roman" w:hAnsi="Cambria"/>
                  <w:color w:val="000000"/>
                  <w:sz w:val="20"/>
                </w:rPr>
                <w:t>Samanta, S., &amp; Banerjee, S. (2025). The impact of digital transformation on higher education: Trends and future directions. The Social Science Review: A Multidisciplinary Journal. Advance online publication. https://doi.org/10.70096/tssr.250307071</w:t>
              </w:r>
            </w:p>
            <w:p w14:paraId="3D0C86C7" w14:textId="77777777" w:rsidR="007653D5" w:rsidRPr="007653D5" w:rsidRDefault="007653D5" w:rsidP="007653D5">
              <w:pPr>
                <w:widowControl w:val="0"/>
                <w:autoSpaceDE w:val="0"/>
                <w:autoSpaceDN w:val="0"/>
                <w:adjustRightInd w:val="0"/>
                <w:ind w:left="630" w:hanging="540"/>
                <w:jc w:val="both"/>
                <w:divId w:val="2137947776"/>
                <w:rPr>
                  <w:rFonts w:ascii="Cambria" w:eastAsia="Times New Roman" w:hAnsi="Cambria"/>
                  <w:color w:val="000000"/>
                  <w:sz w:val="20"/>
                </w:rPr>
              </w:pPr>
              <w:proofErr w:type="spellStart"/>
              <w:r w:rsidRPr="007653D5">
                <w:rPr>
                  <w:rFonts w:ascii="Cambria" w:eastAsia="Times New Roman" w:hAnsi="Cambria"/>
                  <w:color w:val="000000"/>
                  <w:sz w:val="20"/>
                </w:rPr>
                <w:t>Sulisworo</w:t>
              </w:r>
              <w:proofErr w:type="spellEnd"/>
              <w:r w:rsidRPr="007653D5">
                <w:rPr>
                  <w:rFonts w:ascii="Cambria" w:eastAsia="Times New Roman" w:hAnsi="Cambria"/>
                  <w:color w:val="000000"/>
                  <w:sz w:val="20"/>
                </w:rPr>
                <w:t xml:space="preserve">, D., Maimunah, </w:t>
              </w:r>
              <w:proofErr w:type="spellStart"/>
              <w:r w:rsidRPr="007653D5">
                <w:rPr>
                  <w:rFonts w:ascii="Cambria" w:eastAsia="Times New Roman" w:hAnsi="Cambria"/>
                  <w:color w:val="000000"/>
                  <w:sz w:val="20"/>
                </w:rPr>
                <w:t>Wahyuda</w:t>
              </w:r>
              <w:proofErr w:type="spellEnd"/>
              <w:r w:rsidRPr="007653D5">
                <w:rPr>
                  <w:rFonts w:ascii="Cambria" w:eastAsia="Times New Roman" w:hAnsi="Cambria"/>
                  <w:color w:val="000000"/>
                  <w:sz w:val="20"/>
                </w:rPr>
                <w:t xml:space="preserve">, S., &amp; </w:t>
              </w:r>
              <w:proofErr w:type="spellStart"/>
              <w:r w:rsidRPr="007653D5">
                <w:rPr>
                  <w:rFonts w:ascii="Cambria" w:eastAsia="Times New Roman" w:hAnsi="Cambria"/>
                  <w:color w:val="000000"/>
                  <w:sz w:val="20"/>
                </w:rPr>
                <w:t>Diningrat</w:t>
              </w:r>
              <w:proofErr w:type="spellEnd"/>
              <w:r w:rsidRPr="007653D5">
                <w:rPr>
                  <w:rFonts w:ascii="Cambria" w:eastAsia="Times New Roman" w:hAnsi="Cambria"/>
                  <w:color w:val="000000"/>
                  <w:sz w:val="20"/>
                </w:rPr>
                <w:t xml:space="preserve">, M. (2025). Educational technology and the future of learning from a global perspective. </w:t>
              </w:r>
              <w:proofErr w:type="spellStart"/>
              <w:r w:rsidRPr="007653D5">
                <w:rPr>
                  <w:rFonts w:ascii="Cambria" w:eastAsia="Times New Roman" w:hAnsi="Cambria"/>
                  <w:color w:val="000000"/>
                  <w:sz w:val="20"/>
                </w:rPr>
                <w:t>Buletin</w:t>
              </w:r>
              <w:proofErr w:type="spellEnd"/>
              <w:r w:rsidRPr="007653D5">
                <w:rPr>
                  <w:rFonts w:ascii="Cambria" w:eastAsia="Times New Roman" w:hAnsi="Cambria"/>
                  <w:color w:val="000000"/>
                  <w:sz w:val="20"/>
                </w:rPr>
                <w:t xml:space="preserve"> </w:t>
              </w:r>
              <w:proofErr w:type="spellStart"/>
              <w:r w:rsidRPr="007653D5">
                <w:rPr>
                  <w:rFonts w:ascii="Cambria" w:eastAsia="Times New Roman" w:hAnsi="Cambria"/>
                  <w:color w:val="000000"/>
                  <w:sz w:val="20"/>
                </w:rPr>
                <w:t>Edukasi</w:t>
              </w:r>
              <w:proofErr w:type="spellEnd"/>
              <w:r w:rsidRPr="007653D5">
                <w:rPr>
                  <w:rFonts w:ascii="Cambria" w:eastAsia="Times New Roman" w:hAnsi="Cambria"/>
                  <w:color w:val="000000"/>
                  <w:sz w:val="20"/>
                </w:rPr>
                <w:t xml:space="preserve"> Indonesia, 4(1). https://doi.org/10.56741/bei.v4i01.807</w:t>
              </w:r>
            </w:p>
            <w:p w14:paraId="249B454E" w14:textId="77777777" w:rsidR="007653D5" w:rsidRPr="007653D5" w:rsidRDefault="007653D5" w:rsidP="007653D5">
              <w:pPr>
                <w:widowControl w:val="0"/>
                <w:autoSpaceDE w:val="0"/>
                <w:autoSpaceDN w:val="0"/>
                <w:adjustRightInd w:val="0"/>
                <w:ind w:left="630" w:hanging="540"/>
                <w:jc w:val="both"/>
                <w:divId w:val="2137947776"/>
                <w:rPr>
                  <w:rFonts w:ascii="Cambria" w:eastAsia="Times New Roman" w:hAnsi="Cambria"/>
                  <w:color w:val="000000"/>
                  <w:sz w:val="20"/>
                </w:rPr>
              </w:pPr>
              <w:r w:rsidRPr="007653D5">
                <w:rPr>
                  <w:rFonts w:ascii="Cambria" w:eastAsia="Times New Roman" w:hAnsi="Cambria"/>
                  <w:color w:val="000000"/>
                  <w:sz w:val="20"/>
                </w:rPr>
                <w:t xml:space="preserve">Udeozor, C., Toyoda, R., </w:t>
              </w:r>
              <w:proofErr w:type="spellStart"/>
              <w:r w:rsidRPr="007653D5">
                <w:rPr>
                  <w:rFonts w:ascii="Cambria" w:eastAsia="Times New Roman" w:hAnsi="Cambria"/>
                  <w:color w:val="000000"/>
                  <w:sz w:val="20"/>
                </w:rPr>
                <w:t>Abegão</w:t>
              </w:r>
              <w:proofErr w:type="spellEnd"/>
              <w:r w:rsidRPr="007653D5">
                <w:rPr>
                  <w:rFonts w:ascii="Cambria" w:eastAsia="Times New Roman" w:hAnsi="Cambria"/>
                  <w:color w:val="000000"/>
                  <w:sz w:val="20"/>
                </w:rPr>
                <w:t>, F. R., &amp; Glassey, J. (2023). Digital games in engineering education: Systematic review and future trends. European Journal of Engineering Education, 48(2), 321–339. https://doi.org/10.1080/03043797.2022.2093168</w:t>
              </w:r>
            </w:p>
            <w:p w14:paraId="73BE7FF9" w14:textId="77777777" w:rsidR="007653D5" w:rsidRPr="007653D5" w:rsidRDefault="007653D5" w:rsidP="007653D5">
              <w:pPr>
                <w:widowControl w:val="0"/>
                <w:autoSpaceDE w:val="0"/>
                <w:autoSpaceDN w:val="0"/>
                <w:adjustRightInd w:val="0"/>
                <w:ind w:left="630" w:hanging="540"/>
                <w:jc w:val="both"/>
                <w:divId w:val="2137947776"/>
                <w:rPr>
                  <w:rFonts w:ascii="Cambria" w:eastAsia="Times New Roman" w:hAnsi="Cambria"/>
                  <w:color w:val="000000"/>
                  <w:sz w:val="20"/>
                </w:rPr>
              </w:pPr>
              <w:r w:rsidRPr="007653D5">
                <w:rPr>
                  <w:rFonts w:ascii="Cambria" w:eastAsia="Times New Roman" w:hAnsi="Cambria"/>
                  <w:color w:val="000000"/>
                  <w:sz w:val="20"/>
                </w:rPr>
                <w:t>Wu, X.-Y., &amp; Chen, J.-B. (2025). Trends, themes, and innovations in technology-enhanced learning: A comprehensive bibliometric study. SAGE Open, 15(4). https://doi.org/10.1177/21582440251385845</w:t>
              </w:r>
            </w:p>
            <w:p w14:paraId="6E406DF6" w14:textId="77777777" w:rsidR="007653D5" w:rsidRPr="007653D5" w:rsidRDefault="007653D5" w:rsidP="007653D5">
              <w:pPr>
                <w:widowControl w:val="0"/>
                <w:autoSpaceDE w:val="0"/>
                <w:autoSpaceDN w:val="0"/>
                <w:adjustRightInd w:val="0"/>
                <w:ind w:left="630" w:hanging="540"/>
                <w:jc w:val="both"/>
                <w:divId w:val="2137947776"/>
                <w:rPr>
                  <w:rFonts w:ascii="Cambria" w:eastAsia="Times New Roman" w:hAnsi="Cambria"/>
                  <w:color w:val="000000"/>
                  <w:sz w:val="20"/>
                </w:rPr>
              </w:pPr>
              <w:r w:rsidRPr="007653D5">
                <w:rPr>
                  <w:rFonts w:ascii="Cambria" w:eastAsia="Times New Roman" w:hAnsi="Cambria"/>
                  <w:color w:val="000000"/>
                  <w:sz w:val="20"/>
                </w:rPr>
                <w:t>Xue, L., Rashid, A. M., &amp; Sha, O. (2024). The unified theory of acceptance and use of technology (UTAUT) in higher education: A systematic review. SAGE Open, 14(1). https://doi.org/10.1177/21582440241229570</w:t>
              </w:r>
            </w:p>
            <w:p w14:paraId="38C775F9" w14:textId="77777777" w:rsidR="007653D5" w:rsidRPr="007653D5" w:rsidRDefault="007653D5" w:rsidP="007653D5">
              <w:pPr>
                <w:widowControl w:val="0"/>
                <w:autoSpaceDE w:val="0"/>
                <w:autoSpaceDN w:val="0"/>
                <w:adjustRightInd w:val="0"/>
                <w:ind w:left="630" w:hanging="540"/>
                <w:jc w:val="both"/>
                <w:divId w:val="2137947776"/>
                <w:rPr>
                  <w:rFonts w:ascii="Cambria" w:eastAsia="Times New Roman" w:hAnsi="Cambria"/>
                  <w:color w:val="000000"/>
                  <w:sz w:val="20"/>
                </w:rPr>
              </w:pPr>
              <w:r w:rsidRPr="007653D5">
                <w:rPr>
                  <w:rFonts w:ascii="Cambria" w:eastAsia="Times New Roman" w:hAnsi="Cambria"/>
                  <w:color w:val="000000"/>
                  <w:sz w:val="20"/>
                </w:rPr>
                <w:t xml:space="preserve">Yılmaz, Ö. (2024). </w:t>
              </w:r>
              <w:proofErr w:type="spellStart"/>
              <w:r w:rsidRPr="007653D5">
                <w:rPr>
                  <w:rFonts w:ascii="Cambria" w:eastAsia="Times New Roman" w:hAnsi="Cambria"/>
                  <w:color w:val="000000"/>
                  <w:sz w:val="20"/>
                </w:rPr>
                <w:t>Personalised</w:t>
              </w:r>
              <w:proofErr w:type="spellEnd"/>
              <w:r w:rsidRPr="007653D5">
                <w:rPr>
                  <w:rFonts w:ascii="Cambria" w:eastAsia="Times New Roman" w:hAnsi="Cambria"/>
                  <w:color w:val="000000"/>
                  <w:sz w:val="20"/>
                </w:rPr>
                <w:t xml:space="preserve"> learning and artificial intelligence in science education: Current state and future perspectives. Educational Technology Quarterly. Advance online publication. https://doi.org/10.55056/etq.744</w:t>
              </w:r>
            </w:p>
            <w:p w14:paraId="562D0419" w14:textId="570591D2" w:rsidR="007C3CD7" w:rsidRPr="00016470" w:rsidRDefault="007653D5" w:rsidP="007653D5">
              <w:pPr>
                <w:widowControl w:val="0"/>
                <w:autoSpaceDE w:val="0"/>
                <w:autoSpaceDN w:val="0"/>
                <w:adjustRightInd w:val="0"/>
                <w:ind w:left="630" w:hanging="540"/>
                <w:jc w:val="both"/>
                <w:divId w:val="2137947776"/>
                <w:rPr>
                  <w:rFonts w:ascii="Cambria" w:eastAsia="Times New Roman" w:hAnsi="Cambria"/>
                  <w:color w:val="000000"/>
                  <w:sz w:val="20"/>
                </w:rPr>
              </w:pPr>
              <w:r w:rsidRPr="007653D5">
                <w:rPr>
                  <w:rFonts w:ascii="Cambria" w:eastAsia="Times New Roman" w:hAnsi="Cambria"/>
                  <w:color w:val="000000"/>
                  <w:sz w:val="20"/>
                </w:rPr>
                <w:t>Zou, Y., Kuek, F., Feng, W., &amp; Cheng, X. (2025). Digital learning in the 21st century: Trends, challenges, and innovations in technology integration. Frontiers in Education, 10. https://doi.org/10.3389/feduc.2025.1562391</w:t>
              </w:r>
            </w:p>
          </w:sdtContent>
        </w:sdt>
      </w:sdtContent>
    </w:sdt>
    <w:sectPr w:rsidR="007C3CD7" w:rsidRPr="00016470" w:rsidSect="00612A9A">
      <w:headerReference w:type="even" r:id="rId17"/>
      <w:type w:val="continuous"/>
      <w:pgSz w:w="11907" w:h="16839"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EB3DF" w14:textId="77777777" w:rsidR="00390A41" w:rsidRDefault="00390A41">
      <w:r>
        <w:separator/>
      </w:r>
    </w:p>
  </w:endnote>
  <w:endnote w:type="continuationSeparator" w:id="0">
    <w:p w14:paraId="477F3507" w14:textId="77777777" w:rsidR="00390A41" w:rsidRDefault="00390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AdvOTc4d0b532">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F2E5D" w14:textId="22A47219" w:rsidR="00535740" w:rsidRPr="00BD7BB0" w:rsidRDefault="00535740" w:rsidP="00535740">
    <w:pPr>
      <w:spacing w:before="240" w:after="240"/>
      <w:ind w:left="2880"/>
      <w:jc w:val="both"/>
      <w:rPr>
        <w:rFonts w:ascii="Cambria" w:hAnsi="Cambria"/>
        <w:b/>
        <w:bCs/>
        <w:color w:val="004F88"/>
        <w:sz w:val="32"/>
        <w:szCs w:val="32"/>
      </w:rPr>
    </w:pPr>
    <w:r w:rsidRPr="00535740">
      <w:rPr>
        <w:rFonts w:ascii="Cambria" w:hAnsi="Cambria"/>
        <w:b/>
        <w:bCs/>
        <w:sz w:val="32"/>
        <w:szCs w:val="32"/>
      </w:rPr>
      <w:t xml:space="preserve"> </w:t>
    </w:r>
    <w:r w:rsidRPr="00535740">
      <w:rPr>
        <w:rFonts w:ascii="Cambria" w:hAnsi="Cambria"/>
        <w:sz w:val="16"/>
        <w:szCs w:val="16"/>
      </w:rPr>
      <w:t>Technology-Based Learning in Higher Education: Current Trends and Future Perspectives</w:t>
    </w:r>
  </w:p>
  <w:p w14:paraId="22EDF821" w14:textId="3CA2829F" w:rsidR="00DB73B5" w:rsidRPr="00CC7734" w:rsidRDefault="00DB73B5" w:rsidP="0050646D">
    <w:pPr>
      <w:jc w:val="right"/>
      <w:rPr>
        <w:rFonts w:ascii="Cambria" w:hAnsi="Cambria"/>
        <w:sz w:val="16"/>
        <w:szCs w:val="16"/>
        <w:lang w:val="id-I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1990D" w14:textId="2D6EE435" w:rsidR="00DB73B5" w:rsidRPr="00752CC7" w:rsidRDefault="00513B4F" w:rsidP="00E203DC">
    <w:pPr>
      <w:ind w:left="20"/>
      <w:rPr>
        <w:rFonts w:ascii="Cambria" w:hAnsi="Cambria"/>
        <w:color w:val="FF0000"/>
        <w:sz w:val="16"/>
        <w:szCs w:val="16"/>
      </w:rPr>
    </w:pPr>
    <w:r>
      <w:rPr>
        <w:rFonts w:ascii="Cambria" w:hAnsi="Cambria"/>
        <w:color w:val="000000"/>
        <w:sz w:val="16"/>
        <w:szCs w:val="16"/>
      </w:rPr>
      <w:t>*</w:t>
    </w:r>
    <w:r w:rsidR="00DB73B5" w:rsidRPr="007B0A27">
      <w:rPr>
        <w:rFonts w:ascii="Cambria" w:hAnsi="Cambria"/>
        <w:color w:val="000000"/>
        <w:sz w:val="16"/>
        <w:szCs w:val="16"/>
      </w:rPr>
      <w:t>Corresponding author</w:t>
    </w:r>
  </w:p>
  <w:p w14:paraId="12396217" w14:textId="71B4ECF4" w:rsidR="00DB73B5" w:rsidRPr="00891094" w:rsidRDefault="00DB73B5">
    <w:pPr>
      <w:rPr>
        <w:rFonts w:ascii="Cambria" w:hAnsi="Cambria" w:cs="Calibri"/>
        <w:color w:val="000000"/>
        <w:sz w:val="16"/>
        <w:szCs w:val="16"/>
        <w:lang w:val="id-ID"/>
      </w:rPr>
    </w:pPr>
    <w:r w:rsidRPr="00031D13">
      <w:rPr>
        <w:rFonts w:ascii="Cambria" w:hAnsi="Cambria"/>
        <w:color w:val="000000"/>
        <w:sz w:val="16"/>
        <w:szCs w:val="16"/>
      </w:rPr>
      <w:t xml:space="preserve">E-mail </w:t>
    </w:r>
    <w:r w:rsidRPr="00261435">
      <w:rPr>
        <w:rFonts w:ascii="Cambria" w:hAnsi="Cambria"/>
        <w:color w:val="000000"/>
        <w:sz w:val="16"/>
        <w:szCs w:val="16"/>
      </w:rPr>
      <w:t>addresses:</w:t>
    </w:r>
    <w:r w:rsidR="00DB1981">
      <w:rPr>
        <w:rFonts w:ascii="Cambria" w:hAnsi="Cambria"/>
        <w:color w:val="000000"/>
        <w:sz w:val="16"/>
        <w:szCs w:val="16"/>
      </w:rPr>
      <w:t xml:space="preserve"> nurpatrias@gmail.com</w:t>
    </w:r>
    <w:r w:rsidR="00EB3265">
      <w:rPr>
        <w:rFonts w:ascii="Cambria" w:hAnsi="Cambria"/>
        <w:color w:val="000000"/>
        <w:sz w:val="16"/>
        <w:szCs w:val="16"/>
      </w:rPr>
      <w:t xml:space="preserve"> </w:t>
    </w:r>
    <w:r w:rsidR="001657DF">
      <w:rPr>
        <w:rFonts w:ascii="Cambria" w:hAnsi="Cambria"/>
        <w:color w:val="000000"/>
        <w:sz w:val="16"/>
        <w:szCs w:val="16"/>
      </w:rPr>
      <w:t>(</w:t>
    </w:r>
    <w:r w:rsidR="003977DB" w:rsidRPr="003977DB">
      <w:rPr>
        <w:rFonts w:ascii="Cambria" w:hAnsi="Cambria"/>
        <w:color w:val="000000"/>
        <w:sz w:val="16"/>
        <w:szCs w:val="16"/>
      </w:rPr>
      <w:t>First Author</w:t>
    </w:r>
    <w:r w:rsidR="001657DF">
      <w:rPr>
        <w:rFonts w:ascii="Cambria" w:hAnsi="Cambria"/>
        <w:color w:val="000000"/>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21F2B" w14:textId="77777777" w:rsidR="00390A41" w:rsidRDefault="00390A41">
      <w:r>
        <w:separator/>
      </w:r>
    </w:p>
  </w:footnote>
  <w:footnote w:type="continuationSeparator" w:id="0">
    <w:p w14:paraId="3A69EAF9" w14:textId="77777777" w:rsidR="00390A41" w:rsidRDefault="00390A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0291C" w14:textId="77777777" w:rsidR="00DB73B5" w:rsidRPr="00FB3EA0" w:rsidRDefault="00DB73B5" w:rsidP="00FB3EA0">
    <w:pPr>
      <w:pStyle w:val="Header"/>
      <w:tabs>
        <w:tab w:val="clear" w:pos="4680"/>
        <w:tab w:val="clear" w:pos="9360"/>
        <w:tab w:val="center" w:pos="5103"/>
        <w:tab w:val="right" w:pos="9071"/>
      </w:tabs>
      <w:rPr>
        <w:sz w:val="28"/>
      </w:rPr>
    </w:pPr>
    <w:proofErr w:type="spellStart"/>
    <w:r>
      <w:rPr>
        <w:rFonts w:ascii="Cambria" w:hAnsi="Cambria"/>
        <w:i/>
        <w:sz w:val="18"/>
        <w:szCs w:val="18"/>
      </w:rPr>
      <w:t>Jurnal</w:t>
    </w:r>
    <w:proofErr w:type="spellEnd"/>
    <w:r>
      <w:rPr>
        <w:rFonts w:ascii="Cambria" w:hAnsi="Cambria"/>
        <w:i/>
        <w:sz w:val="18"/>
        <w:szCs w:val="18"/>
      </w:rPr>
      <w:t xml:space="preserve"> </w:t>
    </w:r>
    <w:proofErr w:type="spellStart"/>
    <w:r>
      <w:rPr>
        <w:rFonts w:ascii="Cambria" w:hAnsi="Cambria"/>
        <w:i/>
        <w:sz w:val="18"/>
        <w:szCs w:val="18"/>
      </w:rPr>
      <w:t>Ilmiah</w:t>
    </w:r>
    <w:proofErr w:type="spellEnd"/>
    <w:r>
      <w:rPr>
        <w:rFonts w:ascii="Cambria" w:hAnsi="Cambria"/>
        <w:i/>
        <w:sz w:val="18"/>
        <w:szCs w:val="18"/>
      </w:rPr>
      <w:t xml:space="preserve"> Sekolah Dasar, Vol. 4</w:t>
    </w:r>
    <w:r w:rsidRPr="009A5170">
      <w:rPr>
        <w:rFonts w:ascii="Cambria" w:hAnsi="Cambria"/>
        <w:i/>
        <w:sz w:val="18"/>
        <w:szCs w:val="18"/>
      </w:rPr>
      <w:t xml:space="preserve">, No. </w:t>
    </w:r>
    <w:r>
      <w:rPr>
        <w:rFonts w:ascii="Cambria" w:hAnsi="Cambria"/>
        <w:i/>
        <w:sz w:val="18"/>
        <w:szCs w:val="18"/>
      </w:rPr>
      <w:t xml:space="preserve">1, </w:t>
    </w:r>
    <w:proofErr w:type="spellStart"/>
    <w:r>
      <w:rPr>
        <w:rFonts w:ascii="Cambria" w:hAnsi="Cambria"/>
        <w:i/>
        <w:sz w:val="18"/>
        <w:szCs w:val="18"/>
      </w:rPr>
      <w:t>Tahun</w:t>
    </w:r>
    <w:proofErr w:type="spellEnd"/>
    <w:r>
      <w:rPr>
        <w:rFonts w:ascii="Cambria" w:hAnsi="Cambria"/>
        <w:i/>
        <w:sz w:val="18"/>
        <w:szCs w:val="18"/>
      </w:rPr>
      <w:t xml:space="preserve"> 2020 pp 103-112</w:t>
    </w:r>
    <w:r>
      <w:t xml:space="preserve"> </w:t>
    </w:r>
    <w:r>
      <w:tab/>
    </w:r>
    <w:r>
      <w:tab/>
    </w:r>
    <w:r w:rsidRPr="009A5170">
      <w:rPr>
        <w:rFonts w:ascii="Cambria" w:hAnsi="Cambria"/>
        <w:sz w:val="18"/>
        <w:szCs w:val="16"/>
      </w:rPr>
      <w:fldChar w:fldCharType="begin"/>
    </w:r>
    <w:r w:rsidRPr="009A5170">
      <w:rPr>
        <w:rFonts w:ascii="Cambria" w:hAnsi="Cambria"/>
        <w:sz w:val="18"/>
        <w:szCs w:val="16"/>
      </w:rPr>
      <w:instrText xml:space="preserve"> PAGE   \* MERGEFORMAT </w:instrText>
    </w:r>
    <w:r w:rsidRPr="009A5170">
      <w:rPr>
        <w:rFonts w:ascii="Cambria" w:hAnsi="Cambria"/>
        <w:sz w:val="18"/>
        <w:szCs w:val="16"/>
      </w:rPr>
      <w:fldChar w:fldCharType="separate"/>
    </w:r>
    <w:r w:rsidR="00956B78">
      <w:rPr>
        <w:rFonts w:ascii="Cambria" w:hAnsi="Cambria"/>
        <w:noProof/>
        <w:sz w:val="18"/>
        <w:szCs w:val="16"/>
      </w:rPr>
      <w:t>2</w:t>
    </w:r>
    <w:r w:rsidRPr="009A5170">
      <w:rPr>
        <w:rFonts w:ascii="Cambria" w:hAnsi="Cambria"/>
        <w:noProof/>
        <w:sz w:val="18"/>
        <w:szCs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3D7DF" w14:textId="0B9642D2" w:rsidR="00DB73B5" w:rsidRDefault="00BD7BB0" w:rsidP="00664DE2">
    <w:pPr>
      <w:pStyle w:val="Header"/>
      <w:tabs>
        <w:tab w:val="clear" w:pos="9360"/>
        <w:tab w:val="left" w:pos="5025"/>
        <w:tab w:val="right" w:pos="9072"/>
      </w:tabs>
    </w:pPr>
    <w:r w:rsidRPr="00BD7BB0">
      <w:rPr>
        <w:rFonts w:ascii="Cambria" w:hAnsi="Cambria"/>
        <w:i/>
        <w:sz w:val="16"/>
        <w:szCs w:val="16"/>
      </w:rPr>
      <w:t xml:space="preserve">JOP  </w:t>
    </w:r>
    <w:r w:rsidR="00535740" w:rsidRPr="009A5170">
      <w:rPr>
        <w:rFonts w:ascii="Cambria" w:hAnsi="Cambria"/>
        <w:sz w:val="14"/>
        <w:szCs w:val="14"/>
      </w:rPr>
      <w:t xml:space="preserve">Volume </w:t>
    </w:r>
    <w:r w:rsidR="00535740">
      <w:rPr>
        <w:rFonts w:ascii="Cambria" w:hAnsi="Cambria"/>
        <w:sz w:val="14"/>
        <w:szCs w:val="14"/>
      </w:rPr>
      <w:t>3, Number 4</w:t>
    </w:r>
    <w:r w:rsidR="00535740" w:rsidRPr="009A5170">
      <w:rPr>
        <w:rFonts w:ascii="Cambria" w:hAnsi="Cambria"/>
        <w:sz w:val="14"/>
        <w:szCs w:val="14"/>
      </w:rPr>
      <w:t xml:space="preserve">, </w:t>
    </w:r>
    <w:r w:rsidR="00535740">
      <w:rPr>
        <w:rFonts w:ascii="Cambria" w:hAnsi="Cambria"/>
        <w:sz w:val="14"/>
        <w:szCs w:val="14"/>
      </w:rPr>
      <w:t>2026 pp. 1-9</w:t>
    </w:r>
    <w:r w:rsidR="00DB73B5">
      <w:rPr>
        <w:rFonts w:ascii="Cambria" w:hAnsi="Cambria"/>
        <w:i/>
        <w:sz w:val="16"/>
        <w:szCs w:val="16"/>
        <w:lang w:val="en-US"/>
      </w:rPr>
      <w:tab/>
    </w:r>
    <w:r w:rsidR="00DB73B5">
      <w:rPr>
        <w:rFonts w:ascii="Cambria" w:hAnsi="Cambria"/>
        <w:i/>
        <w:sz w:val="18"/>
        <w:szCs w:val="18"/>
        <w:lang w:val="en-US"/>
      </w:rPr>
      <w:tab/>
    </w:r>
    <w:r w:rsidR="00DB73B5">
      <w:tab/>
    </w:r>
    <w:r w:rsidR="00DB73B5" w:rsidRPr="009A5170">
      <w:rPr>
        <w:rFonts w:ascii="Cambria" w:hAnsi="Cambria"/>
        <w:sz w:val="16"/>
        <w:szCs w:val="16"/>
      </w:rPr>
      <w:fldChar w:fldCharType="begin"/>
    </w:r>
    <w:r w:rsidR="00DB73B5" w:rsidRPr="009A5170">
      <w:rPr>
        <w:rFonts w:ascii="Cambria" w:hAnsi="Cambria"/>
        <w:sz w:val="16"/>
        <w:szCs w:val="16"/>
      </w:rPr>
      <w:instrText xml:space="preserve"> PAGE   \* MERGEFORMAT </w:instrText>
    </w:r>
    <w:r w:rsidR="00DB73B5" w:rsidRPr="009A5170">
      <w:rPr>
        <w:rFonts w:ascii="Cambria" w:hAnsi="Cambria"/>
        <w:sz w:val="16"/>
        <w:szCs w:val="16"/>
      </w:rPr>
      <w:fldChar w:fldCharType="separate"/>
    </w:r>
    <w:r w:rsidR="005B234D">
      <w:rPr>
        <w:rFonts w:ascii="Cambria" w:hAnsi="Cambria"/>
        <w:noProof/>
        <w:sz w:val="16"/>
        <w:szCs w:val="16"/>
      </w:rPr>
      <w:t>175</w:t>
    </w:r>
    <w:r w:rsidR="00DB73B5" w:rsidRPr="009A5170">
      <w:rPr>
        <w:rFonts w:ascii="Cambria" w:hAnsi="Cambria"/>
        <w:noProof/>
        <w:sz w:val="16"/>
        <w:szCs w:val="16"/>
      </w:rPr>
      <w:fldChar w:fldCharType="end"/>
    </w:r>
  </w:p>
  <w:p w14:paraId="5D0D5F66" w14:textId="77777777" w:rsidR="00DB73B5" w:rsidRPr="00D27475" w:rsidRDefault="00DB73B5" w:rsidP="00FB3EA0">
    <w:pPr>
      <w:pStyle w:val="Header"/>
      <w:tabs>
        <w:tab w:val="clear" w:pos="9360"/>
        <w:tab w:val="right" w:pos="9071"/>
      </w:tabs>
      <w:jc w:val="center"/>
    </w:pPr>
  </w:p>
  <w:p w14:paraId="6511C0A4" w14:textId="77777777" w:rsidR="00DB73B5" w:rsidRDefault="00DB73B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7E328" w14:textId="6530913C" w:rsidR="00DB73B5" w:rsidRPr="009A5170" w:rsidRDefault="00DB73B5" w:rsidP="004335A8">
    <w:pPr>
      <w:pBdr>
        <w:top w:val="single" w:sz="4" w:space="1" w:color="auto"/>
      </w:pBdr>
      <w:rPr>
        <w:rFonts w:ascii="Cambria" w:hAnsi="Cambria"/>
        <w:sz w:val="14"/>
        <w:szCs w:val="14"/>
      </w:rPr>
    </w:pPr>
  </w:p>
  <w:p w14:paraId="70324879" w14:textId="798676D7" w:rsidR="00DB73B5" w:rsidRPr="00C67C1E" w:rsidRDefault="00BD7BB0" w:rsidP="005955CF">
    <w:pPr>
      <w:pBdr>
        <w:top w:val="single" w:sz="4" w:space="1" w:color="auto"/>
      </w:pBdr>
      <w:tabs>
        <w:tab w:val="right" w:pos="9071"/>
      </w:tabs>
      <w:rPr>
        <w:rFonts w:ascii="Cambria" w:hAnsi="Cambria"/>
        <w:b/>
        <w:bCs/>
        <w:sz w:val="14"/>
        <w:szCs w:val="14"/>
      </w:rPr>
    </w:pPr>
    <w:r>
      <w:rPr>
        <w:rFonts w:ascii="Cambria" w:hAnsi="Cambria"/>
        <w:b/>
        <w:bCs/>
        <w:sz w:val="20"/>
        <w:szCs w:val="20"/>
      </w:rPr>
      <w:t xml:space="preserve">Journal of </w:t>
    </w:r>
    <w:proofErr w:type="spellStart"/>
    <w:r>
      <w:rPr>
        <w:rFonts w:ascii="Cambria" w:hAnsi="Cambria"/>
        <w:b/>
        <w:bCs/>
        <w:sz w:val="20"/>
        <w:szCs w:val="20"/>
      </w:rPr>
      <w:t>Pedagogi</w:t>
    </w:r>
    <w:proofErr w:type="spellEnd"/>
    <w:r w:rsidR="005955CF">
      <w:rPr>
        <w:rFonts w:ascii="Cambria" w:hAnsi="Cambria"/>
        <w:b/>
        <w:bCs/>
        <w:sz w:val="20"/>
        <w:szCs w:val="20"/>
      </w:rPr>
      <w:tab/>
    </w:r>
  </w:p>
  <w:p w14:paraId="54134D15" w14:textId="47100713" w:rsidR="00DB73B5" w:rsidRPr="00CD78C4" w:rsidRDefault="00535740" w:rsidP="007F2668">
    <w:pPr>
      <w:tabs>
        <w:tab w:val="right" w:pos="9071"/>
      </w:tabs>
      <w:rPr>
        <w:rFonts w:ascii="Cambria" w:hAnsi="Cambria"/>
        <w:sz w:val="14"/>
        <w:szCs w:val="14"/>
      </w:rPr>
    </w:pPr>
    <w:r w:rsidRPr="009A5170">
      <w:rPr>
        <w:rFonts w:ascii="Cambria" w:hAnsi="Cambria"/>
        <w:sz w:val="14"/>
        <w:szCs w:val="14"/>
      </w:rPr>
      <w:t xml:space="preserve">Volume </w:t>
    </w:r>
    <w:r>
      <w:rPr>
        <w:rFonts w:ascii="Cambria" w:hAnsi="Cambria"/>
        <w:sz w:val="14"/>
        <w:szCs w:val="14"/>
      </w:rPr>
      <w:t>3, Number 4</w:t>
    </w:r>
    <w:r w:rsidRPr="009A5170">
      <w:rPr>
        <w:rFonts w:ascii="Cambria" w:hAnsi="Cambria"/>
        <w:sz w:val="14"/>
        <w:szCs w:val="14"/>
      </w:rPr>
      <w:t xml:space="preserve">, </w:t>
    </w:r>
    <w:r>
      <w:rPr>
        <w:rFonts w:ascii="Cambria" w:hAnsi="Cambria"/>
        <w:sz w:val="14"/>
        <w:szCs w:val="14"/>
      </w:rPr>
      <w:t>2026 pp.</w:t>
    </w:r>
    <w:bookmarkStart w:id="0" w:name="_Hlk72254191"/>
    <w:bookmarkStart w:id="1" w:name="_Hlk72339025"/>
    <w:bookmarkStart w:id="2" w:name="_Hlk83125255"/>
    <w:bookmarkStart w:id="3" w:name="_Hlk84974285"/>
    <w:r>
      <w:rPr>
        <w:rFonts w:ascii="Cambria" w:hAnsi="Cambria"/>
        <w:sz w:val="14"/>
        <w:szCs w:val="14"/>
      </w:rPr>
      <w:t xml:space="preserve"> </w:t>
    </w:r>
    <w:bookmarkEnd w:id="0"/>
    <w:bookmarkEnd w:id="1"/>
    <w:bookmarkEnd w:id="2"/>
    <w:bookmarkEnd w:id="3"/>
    <w:r>
      <w:rPr>
        <w:rFonts w:ascii="Cambria" w:hAnsi="Cambria"/>
        <w:sz w:val="14"/>
        <w:szCs w:val="14"/>
      </w:rPr>
      <w:t>1-9</w:t>
    </w:r>
    <w:r w:rsidR="007F2668">
      <w:rPr>
        <w:rFonts w:ascii="Cambria" w:hAnsi="Cambria"/>
        <w:sz w:val="14"/>
        <w:szCs w:val="14"/>
      </w:rPr>
      <w:tab/>
    </w:r>
  </w:p>
  <w:p w14:paraId="0380F3AD" w14:textId="3734D8C8" w:rsidR="00DB73B5" w:rsidRPr="009A5170" w:rsidRDefault="00DB73B5" w:rsidP="004335A8">
    <w:pPr>
      <w:rPr>
        <w:rFonts w:ascii="Cambria" w:hAnsi="Cambria"/>
        <w:sz w:val="14"/>
        <w:szCs w:val="14"/>
      </w:rPr>
    </w:pPr>
    <w:r w:rsidRPr="009A5170">
      <w:rPr>
        <w:rFonts w:ascii="Cambria" w:hAnsi="Cambria"/>
        <w:sz w:val="14"/>
        <w:szCs w:val="14"/>
      </w:rPr>
      <w:t xml:space="preserve">P-ISSN: </w:t>
    </w:r>
    <w:r w:rsidR="00BD7BB0">
      <w:rPr>
        <w:rFonts w:ascii="Cambria" w:hAnsi="Cambria"/>
        <w:sz w:val="14"/>
        <w:szCs w:val="14"/>
      </w:rPr>
      <w:t>0000-</w:t>
    </w:r>
    <w:proofErr w:type="gramStart"/>
    <w:r w:rsidR="00BD7BB0">
      <w:rPr>
        <w:rFonts w:ascii="Cambria" w:hAnsi="Cambria"/>
        <w:sz w:val="14"/>
        <w:szCs w:val="14"/>
      </w:rPr>
      <w:t xml:space="preserve">0000 </w:t>
    </w:r>
    <w:r w:rsidRPr="009D413A">
      <w:rPr>
        <w:rFonts w:ascii="Cambria" w:hAnsi="Cambria"/>
        <w:sz w:val="14"/>
        <w:szCs w:val="14"/>
      </w:rPr>
      <w:t xml:space="preserve"> </w:t>
    </w:r>
    <w:r w:rsidRPr="009A5170">
      <w:rPr>
        <w:rFonts w:ascii="Cambria" w:hAnsi="Cambria"/>
        <w:sz w:val="14"/>
        <w:szCs w:val="14"/>
      </w:rPr>
      <w:t>E</w:t>
    </w:r>
    <w:proofErr w:type="gramEnd"/>
    <w:r w:rsidRPr="009A5170">
      <w:rPr>
        <w:rFonts w:ascii="Cambria" w:hAnsi="Cambria"/>
        <w:sz w:val="14"/>
        <w:szCs w:val="14"/>
      </w:rPr>
      <w:t>-</w:t>
    </w:r>
    <w:proofErr w:type="gramStart"/>
    <w:r w:rsidRPr="009A5170">
      <w:rPr>
        <w:rFonts w:ascii="Cambria" w:hAnsi="Cambria"/>
        <w:sz w:val="14"/>
        <w:szCs w:val="14"/>
      </w:rPr>
      <w:t>ISSN</w:t>
    </w:r>
    <w:r>
      <w:rPr>
        <w:rFonts w:ascii="Cambria" w:hAnsi="Cambria"/>
        <w:sz w:val="14"/>
        <w:szCs w:val="14"/>
      </w:rPr>
      <w:t xml:space="preserve"> :</w:t>
    </w:r>
    <w:proofErr w:type="gramEnd"/>
    <w:r>
      <w:rPr>
        <w:rFonts w:ascii="Cambria" w:hAnsi="Cambria"/>
        <w:sz w:val="14"/>
        <w:szCs w:val="14"/>
      </w:rPr>
      <w:t xml:space="preserve"> </w:t>
    </w:r>
    <w:r w:rsidR="00BD7BB0" w:rsidRPr="00BD7BB0">
      <w:rPr>
        <w:rFonts w:ascii="Cambria" w:hAnsi="Cambria"/>
        <w:sz w:val="14"/>
        <w:szCs w:val="14"/>
      </w:rPr>
      <w:t>3046-9554</w:t>
    </w:r>
  </w:p>
  <w:p w14:paraId="6A5B592F" w14:textId="3424A29B" w:rsidR="00535740" w:rsidRDefault="00DB73B5" w:rsidP="004335A8">
    <w:pPr>
      <w:pBdr>
        <w:bottom w:val="single" w:sz="12" w:space="1" w:color="auto"/>
      </w:pBdr>
      <w:rPr>
        <w:rFonts w:ascii="Cambria" w:hAnsi="Cambria"/>
        <w:sz w:val="14"/>
        <w:szCs w:val="14"/>
      </w:rPr>
    </w:pPr>
    <w:r w:rsidRPr="009A5170">
      <w:rPr>
        <w:rFonts w:ascii="Cambria" w:hAnsi="Cambria"/>
        <w:sz w:val="14"/>
        <w:szCs w:val="14"/>
      </w:rPr>
      <w:t xml:space="preserve">Open Access: </w:t>
    </w:r>
    <w:hyperlink r:id="rId1" w:history="1">
      <w:r w:rsidR="00535740" w:rsidRPr="00752C5D">
        <w:rPr>
          <w:rStyle w:val="Hyperlink"/>
          <w:rFonts w:ascii="Cambria" w:hAnsi="Cambria"/>
          <w:sz w:val="14"/>
          <w:szCs w:val="14"/>
        </w:rPr>
        <w:t>https://doi.org/10.62872/c6z3b970</w:t>
      </w:r>
    </w:hyperlink>
  </w:p>
  <w:p w14:paraId="7575C216" w14:textId="5B2DA5BF" w:rsidR="00DB73B5" w:rsidRPr="009A5170" w:rsidRDefault="00DB73B5" w:rsidP="004335A8">
    <w:pPr>
      <w:pBdr>
        <w:bottom w:val="single" w:sz="12" w:space="1" w:color="auto"/>
      </w:pBdr>
      <w:rPr>
        <w:rFonts w:ascii="Cambria" w:hAnsi="Cambria"/>
        <w:sz w:val="14"/>
        <w:szCs w:val="1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65C2C" w14:textId="7BC3F28C" w:rsidR="00DB73B5" w:rsidRDefault="00BD7BB0" w:rsidP="008378A6">
    <w:pPr>
      <w:pStyle w:val="Header"/>
      <w:tabs>
        <w:tab w:val="left" w:pos="1080"/>
        <w:tab w:val="right" w:pos="9071"/>
      </w:tabs>
    </w:pPr>
    <w:r>
      <w:rPr>
        <w:rFonts w:ascii="Cambria" w:hAnsi="Cambria"/>
        <w:i/>
        <w:sz w:val="16"/>
        <w:szCs w:val="16"/>
      </w:rPr>
      <w:t xml:space="preserve">JOP </w:t>
    </w:r>
    <w:r w:rsidR="00513B4F" w:rsidRPr="00513B4F">
      <w:rPr>
        <w:rFonts w:ascii="Cambria" w:hAnsi="Cambria"/>
        <w:i/>
        <w:sz w:val="16"/>
        <w:szCs w:val="16"/>
      </w:rPr>
      <w:t xml:space="preserve"> </w:t>
    </w:r>
    <w:r w:rsidR="00535740" w:rsidRPr="009A5170">
      <w:rPr>
        <w:rFonts w:ascii="Cambria" w:hAnsi="Cambria"/>
        <w:sz w:val="14"/>
        <w:szCs w:val="14"/>
      </w:rPr>
      <w:t xml:space="preserve">Volume </w:t>
    </w:r>
    <w:r w:rsidR="00535740">
      <w:rPr>
        <w:rFonts w:ascii="Cambria" w:hAnsi="Cambria"/>
        <w:sz w:val="14"/>
        <w:szCs w:val="14"/>
      </w:rPr>
      <w:t>3, Number 4</w:t>
    </w:r>
    <w:r w:rsidR="00535740" w:rsidRPr="009A5170">
      <w:rPr>
        <w:rFonts w:ascii="Cambria" w:hAnsi="Cambria"/>
        <w:sz w:val="14"/>
        <w:szCs w:val="14"/>
      </w:rPr>
      <w:t xml:space="preserve">, </w:t>
    </w:r>
    <w:r w:rsidR="00535740">
      <w:rPr>
        <w:rFonts w:ascii="Cambria" w:hAnsi="Cambria"/>
        <w:sz w:val="14"/>
        <w:szCs w:val="14"/>
      </w:rPr>
      <w:t>2026 pp. 1-9</w:t>
    </w:r>
    <w:r w:rsidR="00DB73B5" w:rsidRPr="00A04ECF">
      <w:rPr>
        <w:rFonts w:ascii="Cambria" w:hAnsi="Cambria"/>
        <w:i/>
        <w:sz w:val="16"/>
        <w:szCs w:val="16"/>
        <w:lang w:val="en-US"/>
      </w:rPr>
      <w:tab/>
    </w:r>
    <w:r w:rsidR="00DB73B5" w:rsidRPr="00151AD8">
      <w:rPr>
        <w:rFonts w:ascii="Cambria" w:hAnsi="Cambria"/>
        <w:sz w:val="16"/>
        <w:szCs w:val="16"/>
      </w:rPr>
      <w:tab/>
    </w:r>
    <w:r w:rsidR="00DB73B5" w:rsidRPr="00151AD8">
      <w:rPr>
        <w:rFonts w:ascii="Cambria" w:hAnsi="Cambria"/>
        <w:sz w:val="16"/>
        <w:szCs w:val="16"/>
      </w:rPr>
      <w:fldChar w:fldCharType="begin"/>
    </w:r>
    <w:r w:rsidR="00DB73B5" w:rsidRPr="00957D10">
      <w:rPr>
        <w:rFonts w:ascii="Cambria" w:hAnsi="Cambria"/>
        <w:sz w:val="16"/>
        <w:szCs w:val="16"/>
      </w:rPr>
      <w:instrText xml:space="preserve"> PAGE   \* MERGEFORMAT </w:instrText>
    </w:r>
    <w:r w:rsidR="00DB73B5" w:rsidRPr="00151AD8">
      <w:rPr>
        <w:rFonts w:ascii="Cambria" w:hAnsi="Cambria"/>
        <w:sz w:val="16"/>
        <w:szCs w:val="16"/>
      </w:rPr>
      <w:fldChar w:fldCharType="separate"/>
    </w:r>
    <w:r w:rsidR="005B234D">
      <w:rPr>
        <w:rFonts w:ascii="Cambria" w:hAnsi="Cambria"/>
        <w:noProof/>
        <w:sz w:val="16"/>
        <w:szCs w:val="16"/>
      </w:rPr>
      <w:t>176</w:t>
    </w:r>
    <w:r w:rsidR="00DB73B5" w:rsidRPr="00151AD8">
      <w:rPr>
        <w:rFonts w:ascii="Cambria" w:hAnsi="Cambria"/>
        <w:noProof/>
        <w:sz w:val="16"/>
        <w:szCs w:val="16"/>
      </w:rPr>
      <w:fldChar w:fldCharType="end"/>
    </w:r>
  </w:p>
  <w:p w14:paraId="464AD4D5" w14:textId="77777777" w:rsidR="00DB73B5" w:rsidRPr="00FB3EA0" w:rsidRDefault="00DB73B5" w:rsidP="00FB3EA0">
    <w:pPr>
      <w:pStyle w:val="Header"/>
      <w:tabs>
        <w:tab w:val="clear" w:pos="4680"/>
        <w:tab w:val="clear" w:pos="9360"/>
        <w:tab w:val="center" w:pos="5103"/>
        <w:tab w:val="right" w:pos="9071"/>
      </w:tabs>
      <w:rPr>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74F4456C"/>
    <w:name w:val="WWNum4"/>
    <w:lvl w:ilvl="0">
      <w:start w:val="1"/>
      <w:numFmt w:val="decimal"/>
      <w:lvlText w:val="(%1)"/>
      <w:lvlJc w:val="left"/>
      <w:pPr>
        <w:tabs>
          <w:tab w:val="num" w:pos="0"/>
        </w:tabs>
        <w:ind w:left="3150" w:hanging="360"/>
      </w:pPr>
    </w:lvl>
    <w:lvl w:ilvl="1">
      <w:start w:val="1"/>
      <w:numFmt w:val="lowerLetter"/>
      <w:lvlText w:val="%2)"/>
      <w:lvlJc w:val="left"/>
      <w:pPr>
        <w:tabs>
          <w:tab w:val="num" w:pos="0"/>
        </w:tabs>
        <w:ind w:left="3870" w:hanging="360"/>
      </w:pPr>
      <w:rPr>
        <w:spacing w:val="-1"/>
        <w:w w:val="97"/>
        <w:sz w:val="24"/>
        <w:szCs w:val="24"/>
      </w:rPr>
    </w:lvl>
    <w:lvl w:ilvl="2">
      <w:start w:val="4"/>
      <w:numFmt w:val="lowerLetter"/>
      <w:lvlText w:val="%3."/>
      <w:lvlJc w:val="left"/>
      <w:pPr>
        <w:tabs>
          <w:tab w:val="num" w:pos="0"/>
        </w:tabs>
        <w:ind w:left="4770" w:hanging="360"/>
      </w:pPr>
      <w:rPr>
        <w:rFonts w:ascii="Cambria" w:hAnsi="Cambria" w:hint="default"/>
        <w:sz w:val="20"/>
        <w:szCs w:val="20"/>
      </w:rPr>
    </w:lvl>
    <w:lvl w:ilvl="3">
      <w:start w:val="1"/>
      <w:numFmt w:val="decimal"/>
      <w:lvlText w:val="%4."/>
      <w:lvlJc w:val="left"/>
      <w:pPr>
        <w:tabs>
          <w:tab w:val="num" w:pos="0"/>
        </w:tabs>
        <w:ind w:left="5310" w:hanging="360"/>
      </w:pPr>
    </w:lvl>
    <w:lvl w:ilvl="4">
      <w:start w:val="1"/>
      <w:numFmt w:val="lowerLetter"/>
      <w:lvlText w:val="%5."/>
      <w:lvlJc w:val="left"/>
      <w:pPr>
        <w:tabs>
          <w:tab w:val="num" w:pos="0"/>
        </w:tabs>
        <w:ind w:left="6030" w:hanging="360"/>
      </w:pPr>
    </w:lvl>
    <w:lvl w:ilvl="5">
      <w:start w:val="1"/>
      <w:numFmt w:val="lowerRoman"/>
      <w:lvlText w:val="%6."/>
      <w:lvlJc w:val="right"/>
      <w:pPr>
        <w:tabs>
          <w:tab w:val="num" w:pos="0"/>
        </w:tabs>
        <w:ind w:left="6750" w:hanging="180"/>
      </w:pPr>
    </w:lvl>
    <w:lvl w:ilvl="6">
      <w:start w:val="1"/>
      <w:numFmt w:val="decimal"/>
      <w:lvlText w:val="%7."/>
      <w:lvlJc w:val="left"/>
      <w:pPr>
        <w:tabs>
          <w:tab w:val="num" w:pos="0"/>
        </w:tabs>
        <w:ind w:left="7470" w:hanging="360"/>
      </w:pPr>
    </w:lvl>
    <w:lvl w:ilvl="7">
      <w:start w:val="1"/>
      <w:numFmt w:val="lowerLetter"/>
      <w:lvlText w:val="%8."/>
      <w:lvlJc w:val="left"/>
      <w:pPr>
        <w:tabs>
          <w:tab w:val="num" w:pos="0"/>
        </w:tabs>
        <w:ind w:left="8190" w:hanging="360"/>
      </w:pPr>
    </w:lvl>
    <w:lvl w:ilvl="8">
      <w:start w:val="1"/>
      <w:numFmt w:val="lowerRoman"/>
      <w:lvlText w:val="%9."/>
      <w:lvlJc w:val="right"/>
      <w:pPr>
        <w:tabs>
          <w:tab w:val="num" w:pos="0"/>
        </w:tabs>
        <w:ind w:left="8910" w:hanging="180"/>
      </w:pPr>
    </w:lvl>
  </w:abstractNum>
  <w:abstractNum w:abstractNumId="1" w15:restartNumberingAfterBreak="0">
    <w:nsid w:val="04846DAD"/>
    <w:multiLevelType w:val="hybridMultilevel"/>
    <w:tmpl w:val="32F66002"/>
    <w:lvl w:ilvl="0" w:tplc="B4B624EC">
      <w:start w:val="1"/>
      <w:numFmt w:val="lowerLetter"/>
      <w:lvlText w:val="%1."/>
      <w:lvlJc w:val="left"/>
      <w:pPr>
        <w:ind w:left="720" w:hanging="360"/>
      </w:pPr>
      <w:rPr>
        <w:rFonts w:asciiTheme="majorHAnsi" w:eastAsia="MS Mincho" w:hAnsiTheme="majorHAnsi"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72D0AB5"/>
    <w:multiLevelType w:val="hybridMultilevel"/>
    <w:tmpl w:val="6BD42764"/>
    <w:lvl w:ilvl="0" w:tplc="04090011">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 w15:restartNumberingAfterBreak="0">
    <w:nsid w:val="086776B5"/>
    <w:multiLevelType w:val="hybridMultilevel"/>
    <w:tmpl w:val="1F7653BC"/>
    <w:lvl w:ilvl="0" w:tplc="B4501392">
      <w:start w:val="1"/>
      <w:numFmt w:val="lowerLetter"/>
      <w:lvlText w:val="%1."/>
      <w:lvlJc w:val="left"/>
      <w:pPr>
        <w:ind w:left="720" w:hanging="360"/>
      </w:pPr>
      <w:rPr>
        <w:rFonts w:asciiTheme="majorHAnsi" w:eastAsia="MS Mincho" w:hAnsiTheme="majorHAnsi"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F3D5177"/>
    <w:multiLevelType w:val="hybridMultilevel"/>
    <w:tmpl w:val="C6B0CBEA"/>
    <w:lvl w:ilvl="0" w:tplc="7060AC48">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2946F04"/>
    <w:multiLevelType w:val="hybridMultilevel"/>
    <w:tmpl w:val="8C1A4C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BC75E4"/>
    <w:multiLevelType w:val="hybridMultilevel"/>
    <w:tmpl w:val="AA2ABA0C"/>
    <w:lvl w:ilvl="0" w:tplc="12162FD8">
      <w:start w:val="1"/>
      <w:numFmt w:val="lowerLetter"/>
      <w:lvlText w:val="%1."/>
      <w:lvlJc w:val="left"/>
      <w:pPr>
        <w:ind w:left="720" w:hanging="360"/>
      </w:pPr>
      <w:rPr>
        <w:rFonts w:asciiTheme="majorHAnsi" w:eastAsia="MS Mincho" w:hAnsiTheme="majorHAnsi"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2E0599E"/>
    <w:multiLevelType w:val="hybridMultilevel"/>
    <w:tmpl w:val="99942CB8"/>
    <w:lvl w:ilvl="0" w:tplc="D41E3306">
      <w:start w:val="1"/>
      <w:numFmt w:val="lowerLetter"/>
      <w:lvlText w:val="%1."/>
      <w:lvlJc w:val="left"/>
      <w:pPr>
        <w:ind w:left="720" w:hanging="360"/>
      </w:pPr>
      <w:rPr>
        <w:rFonts w:asciiTheme="majorHAnsi" w:eastAsia="MS Mincho" w:hAnsiTheme="majorHAnsi"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38C1030"/>
    <w:multiLevelType w:val="hybridMultilevel"/>
    <w:tmpl w:val="983CB43A"/>
    <w:lvl w:ilvl="0" w:tplc="88A49882">
      <w:start w:val="1"/>
      <w:numFmt w:val="lowerLetter"/>
      <w:lvlText w:val="%1."/>
      <w:lvlJc w:val="left"/>
      <w:pPr>
        <w:ind w:left="720" w:hanging="360"/>
      </w:pPr>
      <w:rPr>
        <w:rFonts w:asciiTheme="majorHAnsi" w:eastAsia="MS Mincho" w:hAnsiTheme="majorHAnsi"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399058B"/>
    <w:multiLevelType w:val="hybridMultilevel"/>
    <w:tmpl w:val="44D61F14"/>
    <w:lvl w:ilvl="0" w:tplc="8B966E3C">
      <w:start w:val="1"/>
      <w:numFmt w:val="decimal"/>
      <w:pStyle w:val="bab"/>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1C3D51"/>
    <w:multiLevelType w:val="multilevel"/>
    <w:tmpl w:val="252216D6"/>
    <w:lvl w:ilvl="0">
      <w:start w:val="61"/>
      <w:numFmt w:val="decimal"/>
      <w:lvlText w:val="%1"/>
      <w:lvlJc w:val="left"/>
      <w:pPr>
        <w:ind w:left="480" w:hanging="480"/>
      </w:pPr>
      <w:rPr>
        <w:rFonts w:hint="default"/>
      </w:rPr>
    </w:lvl>
    <w:lvl w:ilvl="1">
      <w:start w:val="80"/>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6986B07"/>
    <w:multiLevelType w:val="hybridMultilevel"/>
    <w:tmpl w:val="8D8CACC0"/>
    <w:lvl w:ilvl="0" w:tplc="BC98AC0A">
      <w:start w:val="1"/>
      <w:numFmt w:val="decimal"/>
      <w:lvlText w:val="%1."/>
      <w:lvlJc w:val="left"/>
      <w:pPr>
        <w:ind w:left="1800" w:hanging="360"/>
      </w:pPr>
      <w:rPr>
        <w:rFonts w:hint="default"/>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170129AB"/>
    <w:multiLevelType w:val="hybridMultilevel"/>
    <w:tmpl w:val="008C7900"/>
    <w:lvl w:ilvl="0" w:tplc="689492A8">
      <w:start w:val="1"/>
      <w:numFmt w:val="bullet"/>
      <w:lvlText w:val="-"/>
      <w:lvlJc w:val="left"/>
      <w:pPr>
        <w:ind w:left="360" w:hanging="360"/>
      </w:pPr>
      <w:rPr>
        <w:rFonts w:ascii="Calibri" w:eastAsia="Times New Roman" w:hAnsi="Calibri" w:hint="default"/>
      </w:rPr>
    </w:lvl>
    <w:lvl w:ilvl="1" w:tplc="689492A8">
      <w:start w:val="1"/>
      <w:numFmt w:val="bullet"/>
      <w:lvlText w:val="-"/>
      <w:lvlJc w:val="left"/>
      <w:pPr>
        <w:ind w:left="1080" w:hanging="360"/>
      </w:pPr>
      <w:rPr>
        <w:rFonts w:ascii="Calibri" w:eastAsia="Times New Roman" w:hAnsi="Calibri"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790252A"/>
    <w:multiLevelType w:val="hybridMultilevel"/>
    <w:tmpl w:val="A842735A"/>
    <w:lvl w:ilvl="0" w:tplc="B8BECD82">
      <w:start w:val="1"/>
      <w:numFmt w:val="lowerLetter"/>
      <w:lvlText w:val="%1."/>
      <w:lvlJc w:val="left"/>
      <w:pPr>
        <w:ind w:left="1800" w:hanging="360"/>
      </w:pPr>
      <w:rPr>
        <w:rFonts w:hint="default"/>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7360DA0"/>
    <w:multiLevelType w:val="hybridMultilevel"/>
    <w:tmpl w:val="E1226DFC"/>
    <w:lvl w:ilvl="0" w:tplc="DFAA395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C9354B"/>
    <w:multiLevelType w:val="hybridMultilevel"/>
    <w:tmpl w:val="DAEC2A5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FC5CDC"/>
    <w:multiLevelType w:val="hybridMultilevel"/>
    <w:tmpl w:val="A3708CC4"/>
    <w:lvl w:ilvl="0" w:tplc="EC484D4A">
      <w:numFmt w:val="bullet"/>
      <w:lvlText w:val="-"/>
      <w:lvlJc w:val="left"/>
      <w:pPr>
        <w:ind w:left="1080" w:hanging="360"/>
      </w:pPr>
      <w:rPr>
        <w:rFonts w:ascii="Times New Roman" w:eastAsia="Times New Roman" w:hAnsi="Times New Roman" w:hint="default"/>
        <w:sz w:val="24"/>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BF513B9"/>
    <w:multiLevelType w:val="hybridMultilevel"/>
    <w:tmpl w:val="0BF037A2"/>
    <w:lvl w:ilvl="0" w:tplc="7D56EB6C">
      <w:start w:val="1"/>
      <w:numFmt w:val="decimal"/>
      <w:lvlText w:val="%1."/>
      <w:lvlJc w:val="left"/>
      <w:pPr>
        <w:ind w:left="720" w:hanging="360"/>
      </w:pPr>
      <w:rPr>
        <w:b/>
      </w:rPr>
    </w:lvl>
    <w:lvl w:ilvl="1" w:tplc="B5C4BC1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43066C"/>
    <w:multiLevelType w:val="hybridMultilevel"/>
    <w:tmpl w:val="DBF62DB6"/>
    <w:lvl w:ilvl="0" w:tplc="13A4BDA6">
      <w:start w:val="1"/>
      <w:numFmt w:val="lowerLetter"/>
      <w:lvlText w:val="%1."/>
      <w:lvlJc w:val="left"/>
      <w:pPr>
        <w:ind w:left="720" w:hanging="360"/>
      </w:pPr>
      <w:rPr>
        <w:rFonts w:asciiTheme="majorHAnsi" w:eastAsia="MS Mincho" w:hAnsiTheme="majorHAnsi"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3235534A"/>
    <w:multiLevelType w:val="hybridMultilevel"/>
    <w:tmpl w:val="75548276"/>
    <w:lvl w:ilvl="0" w:tplc="577CA622">
      <w:start w:val="1"/>
      <w:numFmt w:val="lowerLetter"/>
      <w:lvlText w:val="%1."/>
      <w:lvlJc w:val="left"/>
      <w:pPr>
        <w:ind w:left="720" w:hanging="360"/>
      </w:pPr>
      <w:rPr>
        <w:rFonts w:asciiTheme="majorHAnsi" w:eastAsia="MS Mincho" w:hAnsiTheme="majorHAnsi"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39595174"/>
    <w:multiLevelType w:val="hybridMultilevel"/>
    <w:tmpl w:val="03FC5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8A7159"/>
    <w:multiLevelType w:val="hybridMultilevel"/>
    <w:tmpl w:val="4346299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3C90229A"/>
    <w:multiLevelType w:val="hybridMultilevel"/>
    <w:tmpl w:val="4EA0C952"/>
    <w:lvl w:ilvl="0" w:tplc="130C34F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3ECA086A"/>
    <w:multiLevelType w:val="hybridMultilevel"/>
    <w:tmpl w:val="69EAAAB8"/>
    <w:lvl w:ilvl="0" w:tplc="CD886F84">
      <w:start w:val="1"/>
      <w:numFmt w:val="lowerLetter"/>
      <w:lvlText w:val="%1."/>
      <w:lvlJc w:val="left"/>
      <w:pPr>
        <w:ind w:left="720" w:hanging="360"/>
      </w:pPr>
      <w:rPr>
        <w:rFonts w:asciiTheme="majorHAnsi" w:eastAsia="MS Mincho" w:hAnsiTheme="majorHAnsi"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422C6567"/>
    <w:multiLevelType w:val="hybridMultilevel"/>
    <w:tmpl w:val="EAD48CBA"/>
    <w:lvl w:ilvl="0" w:tplc="44780C6A">
      <w:start w:val="1"/>
      <w:numFmt w:val="lowerLetter"/>
      <w:lvlText w:val="%1."/>
      <w:lvlJc w:val="left"/>
      <w:pPr>
        <w:ind w:left="720" w:hanging="360"/>
      </w:pPr>
      <w:rPr>
        <w:rFonts w:asciiTheme="majorHAnsi" w:eastAsia="MS Mincho" w:hAnsiTheme="majorHAnsi"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431B2B99"/>
    <w:multiLevelType w:val="hybridMultilevel"/>
    <w:tmpl w:val="0E66B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F75185"/>
    <w:multiLevelType w:val="hybridMultilevel"/>
    <w:tmpl w:val="966087A6"/>
    <w:lvl w:ilvl="0" w:tplc="04090017">
      <w:start w:val="2"/>
      <w:numFmt w:val="low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C063BE9"/>
    <w:multiLevelType w:val="hybridMultilevel"/>
    <w:tmpl w:val="63EE1E4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4C3C5E8C"/>
    <w:multiLevelType w:val="multilevel"/>
    <w:tmpl w:val="BA4ED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D336E9D"/>
    <w:multiLevelType w:val="hybridMultilevel"/>
    <w:tmpl w:val="47F4E4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F401F65"/>
    <w:multiLevelType w:val="hybridMultilevel"/>
    <w:tmpl w:val="C5303BF4"/>
    <w:lvl w:ilvl="0" w:tplc="84BE00E0">
      <w:start w:val="1"/>
      <w:numFmt w:val="lowerLetter"/>
      <w:lvlText w:val="%1."/>
      <w:lvlJc w:val="left"/>
      <w:pPr>
        <w:ind w:left="720" w:hanging="360"/>
      </w:pPr>
      <w:rPr>
        <w:rFonts w:asciiTheme="majorHAnsi" w:eastAsia="MS Mincho" w:hAnsiTheme="majorHAnsi"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501D37BE"/>
    <w:multiLevelType w:val="hybridMultilevel"/>
    <w:tmpl w:val="99D89984"/>
    <w:lvl w:ilvl="0" w:tplc="F57425BA">
      <w:start w:val="1"/>
      <w:numFmt w:val="decimal"/>
      <w:lvlText w:val="%1."/>
      <w:lvlJc w:val="left"/>
      <w:pPr>
        <w:ind w:left="256" w:hanging="360"/>
      </w:pPr>
      <w:rPr>
        <w:rFonts w:hint="default"/>
      </w:rPr>
    </w:lvl>
    <w:lvl w:ilvl="1" w:tplc="04090019" w:tentative="1">
      <w:start w:val="1"/>
      <w:numFmt w:val="lowerLetter"/>
      <w:lvlText w:val="%2."/>
      <w:lvlJc w:val="left"/>
      <w:pPr>
        <w:ind w:left="976" w:hanging="360"/>
      </w:pPr>
    </w:lvl>
    <w:lvl w:ilvl="2" w:tplc="0409001B" w:tentative="1">
      <w:start w:val="1"/>
      <w:numFmt w:val="lowerRoman"/>
      <w:lvlText w:val="%3."/>
      <w:lvlJc w:val="right"/>
      <w:pPr>
        <w:ind w:left="1696" w:hanging="180"/>
      </w:pPr>
    </w:lvl>
    <w:lvl w:ilvl="3" w:tplc="0409000F" w:tentative="1">
      <w:start w:val="1"/>
      <w:numFmt w:val="decimal"/>
      <w:lvlText w:val="%4."/>
      <w:lvlJc w:val="left"/>
      <w:pPr>
        <w:ind w:left="2416" w:hanging="360"/>
      </w:pPr>
    </w:lvl>
    <w:lvl w:ilvl="4" w:tplc="04090019" w:tentative="1">
      <w:start w:val="1"/>
      <w:numFmt w:val="lowerLetter"/>
      <w:lvlText w:val="%5."/>
      <w:lvlJc w:val="left"/>
      <w:pPr>
        <w:ind w:left="3136" w:hanging="360"/>
      </w:pPr>
    </w:lvl>
    <w:lvl w:ilvl="5" w:tplc="0409001B" w:tentative="1">
      <w:start w:val="1"/>
      <w:numFmt w:val="lowerRoman"/>
      <w:lvlText w:val="%6."/>
      <w:lvlJc w:val="right"/>
      <w:pPr>
        <w:ind w:left="3856" w:hanging="180"/>
      </w:pPr>
    </w:lvl>
    <w:lvl w:ilvl="6" w:tplc="0409000F" w:tentative="1">
      <w:start w:val="1"/>
      <w:numFmt w:val="decimal"/>
      <w:lvlText w:val="%7."/>
      <w:lvlJc w:val="left"/>
      <w:pPr>
        <w:ind w:left="4576" w:hanging="360"/>
      </w:pPr>
    </w:lvl>
    <w:lvl w:ilvl="7" w:tplc="04090019" w:tentative="1">
      <w:start w:val="1"/>
      <w:numFmt w:val="lowerLetter"/>
      <w:lvlText w:val="%8."/>
      <w:lvlJc w:val="left"/>
      <w:pPr>
        <w:ind w:left="5296" w:hanging="360"/>
      </w:pPr>
    </w:lvl>
    <w:lvl w:ilvl="8" w:tplc="0409001B" w:tentative="1">
      <w:start w:val="1"/>
      <w:numFmt w:val="lowerRoman"/>
      <w:lvlText w:val="%9."/>
      <w:lvlJc w:val="right"/>
      <w:pPr>
        <w:ind w:left="6016" w:hanging="180"/>
      </w:pPr>
    </w:lvl>
  </w:abstractNum>
  <w:abstractNum w:abstractNumId="32" w15:restartNumberingAfterBreak="0">
    <w:nsid w:val="59350187"/>
    <w:multiLevelType w:val="hybridMultilevel"/>
    <w:tmpl w:val="1A04688E"/>
    <w:lvl w:ilvl="0" w:tplc="7CE6E5EE">
      <w:start w:val="1"/>
      <w:numFmt w:val="lowerLetter"/>
      <w:lvlText w:val="%1."/>
      <w:lvlJc w:val="left"/>
      <w:pPr>
        <w:ind w:left="720" w:hanging="360"/>
      </w:pPr>
      <w:rPr>
        <w:rFonts w:asciiTheme="majorHAnsi" w:eastAsia="MS Mincho" w:hAnsiTheme="majorHAnsi"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5AC61730"/>
    <w:multiLevelType w:val="hybridMultilevel"/>
    <w:tmpl w:val="5BD0AF0A"/>
    <w:lvl w:ilvl="0" w:tplc="8D322908">
      <w:start w:val="1"/>
      <w:numFmt w:val="lowerLetter"/>
      <w:lvlText w:val="%1)"/>
      <w:lvlJc w:val="left"/>
      <w:pPr>
        <w:ind w:left="1800" w:hanging="360"/>
      </w:pPr>
      <w:rPr>
        <w:rFonts w:ascii="Cambria" w:eastAsia="MS Mincho" w:hAnsi="Cambria"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68821820"/>
    <w:multiLevelType w:val="hybridMultilevel"/>
    <w:tmpl w:val="3B20AB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E4241E"/>
    <w:multiLevelType w:val="hybridMultilevel"/>
    <w:tmpl w:val="3A74E766"/>
    <w:lvl w:ilvl="0" w:tplc="E228D0D0">
      <w:start w:val="1"/>
      <w:numFmt w:val="lowerLetter"/>
      <w:lvlText w:val="%1."/>
      <w:lvlJc w:val="left"/>
      <w:pPr>
        <w:ind w:left="720" w:hanging="360"/>
      </w:pPr>
      <w:rPr>
        <w:rFonts w:asciiTheme="majorHAnsi" w:eastAsia="MS Mincho" w:hAnsiTheme="majorHAnsi"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6C013738"/>
    <w:multiLevelType w:val="hybridMultilevel"/>
    <w:tmpl w:val="D206BD16"/>
    <w:lvl w:ilvl="0" w:tplc="A55E9DA4">
      <w:start w:val="1"/>
      <w:numFmt w:val="decimal"/>
      <w:lvlText w:val="%1."/>
      <w:lvlJc w:val="left"/>
      <w:pPr>
        <w:ind w:left="720" w:hanging="360"/>
      </w:pPr>
      <w:rPr>
        <w:rFonts w:asciiTheme="majorHAnsi" w:eastAsia="MS Mincho" w:hAnsiTheme="majorHAnsi"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6C2F0328"/>
    <w:multiLevelType w:val="hybridMultilevel"/>
    <w:tmpl w:val="76D685B8"/>
    <w:lvl w:ilvl="0" w:tplc="6CEAD4DC">
      <w:start w:val="1"/>
      <w:numFmt w:val="decimal"/>
      <w:lvlText w:val="%1."/>
      <w:lvlJc w:val="left"/>
      <w:pPr>
        <w:ind w:left="720" w:hanging="360"/>
      </w:pPr>
      <w:rPr>
        <w:rFonts w:eastAsia="MS Mincho"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E1E3A87"/>
    <w:multiLevelType w:val="hybridMultilevel"/>
    <w:tmpl w:val="6246766C"/>
    <w:lvl w:ilvl="0" w:tplc="97B0B2B0">
      <w:start w:val="1"/>
      <w:numFmt w:val="decimal"/>
      <w:lvlText w:val="%1."/>
      <w:lvlJc w:val="left"/>
      <w:pPr>
        <w:ind w:left="720" w:hanging="360"/>
      </w:pPr>
      <w:rPr>
        <w:rFonts w:asciiTheme="majorHAnsi" w:eastAsia="MS Mincho" w:hAnsiTheme="majorHAnsi"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7305556F"/>
    <w:multiLevelType w:val="hybridMultilevel"/>
    <w:tmpl w:val="51A22298"/>
    <w:lvl w:ilvl="0" w:tplc="23CEDEAE">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6445D99"/>
    <w:multiLevelType w:val="multilevel"/>
    <w:tmpl w:val="1CD2E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8A70152"/>
    <w:multiLevelType w:val="hybridMultilevel"/>
    <w:tmpl w:val="6484A4DC"/>
    <w:lvl w:ilvl="0" w:tplc="04090017">
      <w:start w:val="1"/>
      <w:numFmt w:val="lowerLetter"/>
      <w:lvlText w:val="%1)"/>
      <w:lvlJc w:val="left"/>
      <w:pPr>
        <w:ind w:left="1800" w:hanging="360"/>
      </w:pPr>
      <w:rPr>
        <w:rFonts w:hint="default"/>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7BA94CD5"/>
    <w:multiLevelType w:val="hybridMultilevel"/>
    <w:tmpl w:val="17A0CD12"/>
    <w:lvl w:ilvl="0" w:tplc="66985388">
      <w:start w:val="1"/>
      <w:numFmt w:val="decimal"/>
      <w:lvlText w:val="%1)"/>
      <w:lvlJc w:val="left"/>
      <w:pPr>
        <w:ind w:left="1800" w:hanging="360"/>
      </w:pPr>
      <w:rPr>
        <w:rFonts w:hint="default"/>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15:restartNumberingAfterBreak="0">
    <w:nsid w:val="7E031CB2"/>
    <w:multiLevelType w:val="multilevel"/>
    <w:tmpl w:val="425EA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8707275">
    <w:abstractNumId w:val="17"/>
  </w:num>
  <w:num w:numId="2" w16cid:durableId="130247529">
    <w:abstractNumId w:val="9"/>
  </w:num>
  <w:num w:numId="3" w16cid:durableId="759176792">
    <w:abstractNumId w:val="12"/>
  </w:num>
  <w:num w:numId="4" w16cid:durableId="957564874">
    <w:abstractNumId w:val="16"/>
  </w:num>
  <w:num w:numId="5" w16cid:durableId="1590231123">
    <w:abstractNumId w:val="2"/>
  </w:num>
  <w:num w:numId="6" w16cid:durableId="1118379437">
    <w:abstractNumId w:val="20"/>
  </w:num>
  <w:num w:numId="7" w16cid:durableId="1083332217">
    <w:abstractNumId w:val="34"/>
  </w:num>
  <w:num w:numId="8" w16cid:durableId="799231964">
    <w:abstractNumId w:val="5"/>
  </w:num>
  <w:num w:numId="9" w16cid:durableId="41098752">
    <w:abstractNumId w:val="21"/>
  </w:num>
  <w:num w:numId="10" w16cid:durableId="2003046772">
    <w:abstractNumId w:val="25"/>
  </w:num>
  <w:num w:numId="11" w16cid:durableId="358705562">
    <w:abstractNumId w:val="22"/>
  </w:num>
  <w:num w:numId="12" w16cid:durableId="1309436675">
    <w:abstractNumId w:val="4"/>
  </w:num>
  <w:num w:numId="13" w16cid:durableId="107357732">
    <w:abstractNumId w:val="39"/>
  </w:num>
  <w:num w:numId="14" w16cid:durableId="1694958391">
    <w:abstractNumId w:val="13"/>
  </w:num>
  <w:num w:numId="15" w16cid:durableId="1317143845">
    <w:abstractNumId w:val="33"/>
  </w:num>
  <w:num w:numId="16" w16cid:durableId="1285379844">
    <w:abstractNumId w:val="41"/>
  </w:num>
  <w:num w:numId="17" w16cid:durableId="979044132">
    <w:abstractNumId w:val="42"/>
  </w:num>
  <w:num w:numId="18" w16cid:durableId="854223804">
    <w:abstractNumId w:val="11"/>
  </w:num>
  <w:num w:numId="19" w16cid:durableId="1981497046">
    <w:abstractNumId w:val="29"/>
  </w:num>
  <w:num w:numId="20" w16cid:durableId="1194852649">
    <w:abstractNumId w:val="26"/>
  </w:num>
  <w:num w:numId="21" w16cid:durableId="71126738">
    <w:abstractNumId w:val="14"/>
  </w:num>
  <w:num w:numId="22" w16cid:durableId="715853346">
    <w:abstractNumId w:val="15"/>
  </w:num>
  <w:num w:numId="23" w16cid:durableId="975912729">
    <w:abstractNumId w:val="31"/>
  </w:num>
  <w:num w:numId="24" w16cid:durableId="1979070447">
    <w:abstractNumId w:val="37"/>
  </w:num>
  <w:num w:numId="25" w16cid:durableId="364524649">
    <w:abstractNumId w:val="1"/>
  </w:num>
  <w:num w:numId="26" w16cid:durableId="627514662">
    <w:abstractNumId w:val="35"/>
  </w:num>
  <w:num w:numId="27" w16cid:durableId="26679853">
    <w:abstractNumId w:val="24"/>
  </w:num>
  <w:num w:numId="28" w16cid:durableId="1793358754">
    <w:abstractNumId w:val="6"/>
  </w:num>
  <w:num w:numId="29" w16cid:durableId="2146655009">
    <w:abstractNumId w:val="23"/>
  </w:num>
  <w:num w:numId="30" w16cid:durableId="931006745">
    <w:abstractNumId w:val="3"/>
  </w:num>
  <w:num w:numId="31" w16cid:durableId="1623146450">
    <w:abstractNumId w:val="7"/>
  </w:num>
  <w:num w:numId="32" w16cid:durableId="685908088">
    <w:abstractNumId w:val="19"/>
  </w:num>
  <w:num w:numId="33" w16cid:durableId="702678775">
    <w:abstractNumId w:val="30"/>
  </w:num>
  <w:num w:numId="34" w16cid:durableId="232816135">
    <w:abstractNumId w:val="8"/>
  </w:num>
  <w:num w:numId="35" w16cid:durableId="1801874137">
    <w:abstractNumId w:val="32"/>
  </w:num>
  <w:num w:numId="36" w16cid:durableId="1140423209">
    <w:abstractNumId w:val="18"/>
  </w:num>
  <w:num w:numId="37" w16cid:durableId="1129974310">
    <w:abstractNumId w:val="27"/>
  </w:num>
  <w:num w:numId="38" w16cid:durableId="1870801458">
    <w:abstractNumId w:val="10"/>
  </w:num>
  <w:num w:numId="39" w16cid:durableId="59905380">
    <w:abstractNumId w:val="36"/>
  </w:num>
  <w:num w:numId="40" w16cid:durableId="269313971">
    <w:abstractNumId w:val="38"/>
  </w:num>
  <w:num w:numId="41" w16cid:durableId="1372994993">
    <w:abstractNumId w:val="28"/>
  </w:num>
  <w:num w:numId="42" w16cid:durableId="920482337">
    <w:abstractNumId w:val="43"/>
  </w:num>
  <w:num w:numId="43" w16cid:durableId="1487743261">
    <w:abstractNumId w:val="4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savePreviewPicture/>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Y3MrYwMzcxNbMwNLZQ0lEKTi0uzszPAykwrQUAXa3CaCwAAAA="/>
  </w:docVars>
  <w:rsids>
    <w:rsidRoot w:val="002666CC"/>
    <w:rsid w:val="00000666"/>
    <w:rsid w:val="000018A2"/>
    <w:rsid w:val="00002903"/>
    <w:rsid w:val="0000529F"/>
    <w:rsid w:val="000066B1"/>
    <w:rsid w:val="00010154"/>
    <w:rsid w:val="00013B3C"/>
    <w:rsid w:val="00016470"/>
    <w:rsid w:val="000169F3"/>
    <w:rsid w:val="00021779"/>
    <w:rsid w:val="00021791"/>
    <w:rsid w:val="00022A27"/>
    <w:rsid w:val="000242CE"/>
    <w:rsid w:val="000270EE"/>
    <w:rsid w:val="0003195A"/>
    <w:rsid w:val="00031D13"/>
    <w:rsid w:val="000328FC"/>
    <w:rsid w:val="00034A31"/>
    <w:rsid w:val="00040BF5"/>
    <w:rsid w:val="000410E8"/>
    <w:rsid w:val="00042521"/>
    <w:rsid w:val="00050E07"/>
    <w:rsid w:val="00051163"/>
    <w:rsid w:val="00052FD3"/>
    <w:rsid w:val="000566F6"/>
    <w:rsid w:val="00057034"/>
    <w:rsid w:val="000617C3"/>
    <w:rsid w:val="00062793"/>
    <w:rsid w:val="000644D4"/>
    <w:rsid w:val="00065A93"/>
    <w:rsid w:val="00070B79"/>
    <w:rsid w:val="00070DCD"/>
    <w:rsid w:val="00071942"/>
    <w:rsid w:val="000723E1"/>
    <w:rsid w:val="00072E32"/>
    <w:rsid w:val="000731CE"/>
    <w:rsid w:val="00076CCC"/>
    <w:rsid w:val="00081142"/>
    <w:rsid w:val="000829E6"/>
    <w:rsid w:val="00085260"/>
    <w:rsid w:val="00090CAA"/>
    <w:rsid w:val="00091144"/>
    <w:rsid w:val="00094571"/>
    <w:rsid w:val="00095D9B"/>
    <w:rsid w:val="00097846"/>
    <w:rsid w:val="000A0592"/>
    <w:rsid w:val="000B051B"/>
    <w:rsid w:val="000B3225"/>
    <w:rsid w:val="000B3E46"/>
    <w:rsid w:val="000B7DCD"/>
    <w:rsid w:val="000B7E44"/>
    <w:rsid w:val="000C2A91"/>
    <w:rsid w:val="000C4763"/>
    <w:rsid w:val="000C5365"/>
    <w:rsid w:val="000C55D2"/>
    <w:rsid w:val="000D329D"/>
    <w:rsid w:val="000E6027"/>
    <w:rsid w:val="000E7E44"/>
    <w:rsid w:val="000F2D0F"/>
    <w:rsid w:val="000F66D3"/>
    <w:rsid w:val="000F7B0D"/>
    <w:rsid w:val="00102E1F"/>
    <w:rsid w:val="00102F87"/>
    <w:rsid w:val="001038AF"/>
    <w:rsid w:val="001040BE"/>
    <w:rsid w:val="00110DDB"/>
    <w:rsid w:val="00113CF2"/>
    <w:rsid w:val="0011460B"/>
    <w:rsid w:val="001167BD"/>
    <w:rsid w:val="00121910"/>
    <w:rsid w:val="0012297D"/>
    <w:rsid w:val="0012623B"/>
    <w:rsid w:val="00126B1C"/>
    <w:rsid w:val="00126CFE"/>
    <w:rsid w:val="00127356"/>
    <w:rsid w:val="00133571"/>
    <w:rsid w:val="00134780"/>
    <w:rsid w:val="00135A95"/>
    <w:rsid w:val="00141A08"/>
    <w:rsid w:val="00142CD6"/>
    <w:rsid w:val="00143262"/>
    <w:rsid w:val="00144BC3"/>
    <w:rsid w:val="00146EB0"/>
    <w:rsid w:val="00151AD8"/>
    <w:rsid w:val="00152C63"/>
    <w:rsid w:val="00154FEB"/>
    <w:rsid w:val="0016252C"/>
    <w:rsid w:val="0016386C"/>
    <w:rsid w:val="001648F6"/>
    <w:rsid w:val="001657DF"/>
    <w:rsid w:val="0016640F"/>
    <w:rsid w:val="00166AB3"/>
    <w:rsid w:val="00170323"/>
    <w:rsid w:val="001705A7"/>
    <w:rsid w:val="001720BA"/>
    <w:rsid w:val="00173C86"/>
    <w:rsid w:val="001753AE"/>
    <w:rsid w:val="00177D2B"/>
    <w:rsid w:val="0018545D"/>
    <w:rsid w:val="00186184"/>
    <w:rsid w:val="00186A62"/>
    <w:rsid w:val="00190C5E"/>
    <w:rsid w:val="001A12CC"/>
    <w:rsid w:val="001A2F82"/>
    <w:rsid w:val="001A6E52"/>
    <w:rsid w:val="001A7DCE"/>
    <w:rsid w:val="001B40A4"/>
    <w:rsid w:val="001B5927"/>
    <w:rsid w:val="001B6046"/>
    <w:rsid w:val="001B77F3"/>
    <w:rsid w:val="001C4898"/>
    <w:rsid w:val="001C572F"/>
    <w:rsid w:val="001D1044"/>
    <w:rsid w:val="001D3C53"/>
    <w:rsid w:val="001D524F"/>
    <w:rsid w:val="001D571C"/>
    <w:rsid w:val="001D7656"/>
    <w:rsid w:val="001E07D3"/>
    <w:rsid w:val="001E3F41"/>
    <w:rsid w:val="001F0BF2"/>
    <w:rsid w:val="001F472C"/>
    <w:rsid w:val="001F7677"/>
    <w:rsid w:val="0020037D"/>
    <w:rsid w:val="00201E24"/>
    <w:rsid w:val="00207893"/>
    <w:rsid w:val="00212FF7"/>
    <w:rsid w:val="00213A51"/>
    <w:rsid w:val="002229AD"/>
    <w:rsid w:val="00223991"/>
    <w:rsid w:val="002239D4"/>
    <w:rsid w:val="00224781"/>
    <w:rsid w:val="00235CFB"/>
    <w:rsid w:val="00235EC9"/>
    <w:rsid w:val="00244689"/>
    <w:rsid w:val="00247235"/>
    <w:rsid w:val="0024757D"/>
    <w:rsid w:val="0024798E"/>
    <w:rsid w:val="0025253E"/>
    <w:rsid w:val="002555B5"/>
    <w:rsid w:val="00256B36"/>
    <w:rsid w:val="00256E44"/>
    <w:rsid w:val="00261435"/>
    <w:rsid w:val="0026169C"/>
    <w:rsid w:val="0026420C"/>
    <w:rsid w:val="0026524C"/>
    <w:rsid w:val="00266188"/>
    <w:rsid w:val="002666CC"/>
    <w:rsid w:val="002667F0"/>
    <w:rsid w:val="00275402"/>
    <w:rsid w:val="00287792"/>
    <w:rsid w:val="00290645"/>
    <w:rsid w:val="0029160D"/>
    <w:rsid w:val="002938F0"/>
    <w:rsid w:val="00294048"/>
    <w:rsid w:val="002941CD"/>
    <w:rsid w:val="00294ACF"/>
    <w:rsid w:val="002A3C16"/>
    <w:rsid w:val="002A71B5"/>
    <w:rsid w:val="002B619A"/>
    <w:rsid w:val="002B6F90"/>
    <w:rsid w:val="002C1F91"/>
    <w:rsid w:val="002C3D6A"/>
    <w:rsid w:val="002C4C24"/>
    <w:rsid w:val="002C6739"/>
    <w:rsid w:val="002D6010"/>
    <w:rsid w:val="002D7290"/>
    <w:rsid w:val="002E107B"/>
    <w:rsid w:val="002E1286"/>
    <w:rsid w:val="002E2B65"/>
    <w:rsid w:val="002E5513"/>
    <w:rsid w:val="002E60D7"/>
    <w:rsid w:val="002E7DF4"/>
    <w:rsid w:val="002F5EB9"/>
    <w:rsid w:val="002F7E16"/>
    <w:rsid w:val="002F7EE9"/>
    <w:rsid w:val="00302EB5"/>
    <w:rsid w:val="0031102F"/>
    <w:rsid w:val="003208B5"/>
    <w:rsid w:val="003253E4"/>
    <w:rsid w:val="0032658E"/>
    <w:rsid w:val="0033731E"/>
    <w:rsid w:val="003425BD"/>
    <w:rsid w:val="00344B38"/>
    <w:rsid w:val="00345433"/>
    <w:rsid w:val="003464C5"/>
    <w:rsid w:val="0034689B"/>
    <w:rsid w:val="0034722E"/>
    <w:rsid w:val="0034759C"/>
    <w:rsid w:val="00347817"/>
    <w:rsid w:val="00350F12"/>
    <w:rsid w:val="00354866"/>
    <w:rsid w:val="0035644C"/>
    <w:rsid w:val="00357583"/>
    <w:rsid w:val="00360A0A"/>
    <w:rsid w:val="00361898"/>
    <w:rsid w:val="00361D7E"/>
    <w:rsid w:val="003625B3"/>
    <w:rsid w:val="00365C6B"/>
    <w:rsid w:val="003715EC"/>
    <w:rsid w:val="00376E0B"/>
    <w:rsid w:val="00377920"/>
    <w:rsid w:val="0038268F"/>
    <w:rsid w:val="00384B30"/>
    <w:rsid w:val="00385BDA"/>
    <w:rsid w:val="00390630"/>
    <w:rsid w:val="00390A41"/>
    <w:rsid w:val="00392F68"/>
    <w:rsid w:val="003941E6"/>
    <w:rsid w:val="003977DB"/>
    <w:rsid w:val="00397A26"/>
    <w:rsid w:val="003A3A94"/>
    <w:rsid w:val="003A608D"/>
    <w:rsid w:val="003A63F7"/>
    <w:rsid w:val="003A6D78"/>
    <w:rsid w:val="003A70EB"/>
    <w:rsid w:val="003A74D3"/>
    <w:rsid w:val="003A7EA9"/>
    <w:rsid w:val="003B1D7B"/>
    <w:rsid w:val="003B54B7"/>
    <w:rsid w:val="003C4026"/>
    <w:rsid w:val="003C5D3F"/>
    <w:rsid w:val="003C6621"/>
    <w:rsid w:val="003C6EC8"/>
    <w:rsid w:val="003D0418"/>
    <w:rsid w:val="003D59A9"/>
    <w:rsid w:val="003D6727"/>
    <w:rsid w:val="003E07EA"/>
    <w:rsid w:val="003E6340"/>
    <w:rsid w:val="003E6720"/>
    <w:rsid w:val="003F0923"/>
    <w:rsid w:val="003F397D"/>
    <w:rsid w:val="003F3A59"/>
    <w:rsid w:val="003F75F4"/>
    <w:rsid w:val="00402979"/>
    <w:rsid w:val="004037AD"/>
    <w:rsid w:val="0040405B"/>
    <w:rsid w:val="00404E0C"/>
    <w:rsid w:val="0041138D"/>
    <w:rsid w:val="00412EFA"/>
    <w:rsid w:val="00414795"/>
    <w:rsid w:val="00421BE3"/>
    <w:rsid w:val="0042477F"/>
    <w:rsid w:val="00424E3B"/>
    <w:rsid w:val="004256E9"/>
    <w:rsid w:val="004257FE"/>
    <w:rsid w:val="00427CF3"/>
    <w:rsid w:val="00430C12"/>
    <w:rsid w:val="004335A8"/>
    <w:rsid w:val="00436B96"/>
    <w:rsid w:val="00440353"/>
    <w:rsid w:val="00441C13"/>
    <w:rsid w:val="00442AA9"/>
    <w:rsid w:val="004433DA"/>
    <w:rsid w:val="0044492D"/>
    <w:rsid w:val="004463CB"/>
    <w:rsid w:val="00452653"/>
    <w:rsid w:val="004533FE"/>
    <w:rsid w:val="00453D02"/>
    <w:rsid w:val="00454CF1"/>
    <w:rsid w:val="0045576D"/>
    <w:rsid w:val="00463B4D"/>
    <w:rsid w:val="004642A3"/>
    <w:rsid w:val="00464B8D"/>
    <w:rsid w:val="004667B8"/>
    <w:rsid w:val="004731D6"/>
    <w:rsid w:val="0047346C"/>
    <w:rsid w:val="00476441"/>
    <w:rsid w:val="00476A1A"/>
    <w:rsid w:val="00480D84"/>
    <w:rsid w:val="00483765"/>
    <w:rsid w:val="00484C2A"/>
    <w:rsid w:val="004857A9"/>
    <w:rsid w:val="00491C35"/>
    <w:rsid w:val="00494663"/>
    <w:rsid w:val="004951D0"/>
    <w:rsid w:val="004967CE"/>
    <w:rsid w:val="004A0B63"/>
    <w:rsid w:val="004A22CA"/>
    <w:rsid w:val="004A2791"/>
    <w:rsid w:val="004A4E29"/>
    <w:rsid w:val="004A52B9"/>
    <w:rsid w:val="004B10ED"/>
    <w:rsid w:val="004B5331"/>
    <w:rsid w:val="004B5A81"/>
    <w:rsid w:val="004B7F7A"/>
    <w:rsid w:val="004C04A1"/>
    <w:rsid w:val="004C0DA8"/>
    <w:rsid w:val="004C7804"/>
    <w:rsid w:val="004D2109"/>
    <w:rsid w:val="004D2D52"/>
    <w:rsid w:val="004D6881"/>
    <w:rsid w:val="004E019C"/>
    <w:rsid w:val="004E0998"/>
    <w:rsid w:val="004E19E6"/>
    <w:rsid w:val="004E3D8A"/>
    <w:rsid w:val="004E5D2F"/>
    <w:rsid w:val="004F0CC0"/>
    <w:rsid w:val="004F6239"/>
    <w:rsid w:val="004F63E0"/>
    <w:rsid w:val="00503D3C"/>
    <w:rsid w:val="005043C7"/>
    <w:rsid w:val="00504A51"/>
    <w:rsid w:val="0050646D"/>
    <w:rsid w:val="005108EE"/>
    <w:rsid w:val="00511521"/>
    <w:rsid w:val="005129A1"/>
    <w:rsid w:val="00513B4F"/>
    <w:rsid w:val="005149BB"/>
    <w:rsid w:val="00524288"/>
    <w:rsid w:val="005248F6"/>
    <w:rsid w:val="0052510E"/>
    <w:rsid w:val="00525682"/>
    <w:rsid w:val="00531D22"/>
    <w:rsid w:val="00532FC2"/>
    <w:rsid w:val="00532FC9"/>
    <w:rsid w:val="00533075"/>
    <w:rsid w:val="00535740"/>
    <w:rsid w:val="00536134"/>
    <w:rsid w:val="00537A2E"/>
    <w:rsid w:val="00540B29"/>
    <w:rsid w:val="00541C12"/>
    <w:rsid w:val="00542003"/>
    <w:rsid w:val="00543E84"/>
    <w:rsid w:val="0055445E"/>
    <w:rsid w:val="005672AC"/>
    <w:rsid w:val="00574DCD"/>
    <w:rsid w:val="0057623B"/>
    <w:rsid w:val="005777C9"/>
    <w:rsid w:val="00577FE4"/>
    <w:rsid w:val="00581D0D"/>
    <w:rsid w:val="005833CC"/>
    <w:rsid w:val="005939BE"/>
    <w:rsid w:val="005955CF"/>
    <w:rsid w:val="005A11B6"/>
    <w:rsid w:val="005A16E2"/>
    <w:rsid w:val="005A1B45"/>
    <w:rsid w:val="005A5EC6"/>
    <w:rsid w:val="005B05D3"/>
    <w:rsid w:val="005B234D"/>
    <w:rsid w:val="005B3DC9"/>
    <w:rsid w:val="005B43AB"/>
    <w:rsid w:val="005C386E"/>
    <w:rsid w:val="005C3AF0"/>
    <w:rsid w:val="005C7330"/>
    <w:rsid w:val="005D61FE"/>
    <w:rsid w:val="005E080B"/>
    <w:rsid w:val="005E3A8A"/>
    <w:rsid w:val="005E63FF"/>
    <w:rsid w:val="005E657B"/>
    <w:rsid w:val="005E692D"/>
    <w:rsid w:val="005E7927"/>
    <w:rsid w:val="005F33EE"/>
    <w:rsid w:val="005F6541"/>
    <w:rsid w:val="005F6B36"/>
    <w:rsid w:val="00607BC8"/>
    <w:rsid w:val="00612A9A"/>
    <w:rsid w:val="00612B0C"/>
    <w:rsid w:val="00617A73"/>
    <w:rsid w:val="0062072B"/>
    <w:rsid w:val="00621E7E"/>
    <w:rsid w:val="00621F41"/>
    <w:rsid w:val="006220BF"/>
    <w:rsid w:val="006221F5"/>
    <w:rsid w:val="0062398C"/>
    <w:rsid w:val="0062512E"/>
    <w:rsid w:val="006271C1"/>
    <w:rsid w:val="00631F48"/>
    <w:rsid w:val="00635223"/>
    <w:rsid w:val="00637AFA"/>
    <w:rsid w:val="006405B7"/>
    <w:rsid w:val="006426E5"/>
    <w:rsid w:val="00643015"/>
    <w:rsid w:val="00645B2D"/>
    <w:rsid w:val="00645D7E"/>
    <w:rsid w:val="006461FC"/>
    <w:rsid w:val="0064658B"/>
    <w:rsid w:val="00652DCA"/>
    <w:rsid w:val="006537CF"/>
    <w:rsid w:val="0065708F"/>
    <w:rsid w:val="006610C6"/>
    <w:rsid w:val="00662F0D"/>
    <w:rsid w:val="0066350C"/>
    <w:rsid w:val="00664DE2"/>
    <w:rsid w:val="00665276"/>
    <w:rsid w:val="006678FC"/>
    <w:rsid w:val="00667B85"/>
    <w:rsid w:val="00673693"/>
    <w:rsid w:val="006745B1"/>
    <w:rsid w:val="00674AD7"/>
    <w:rsid w:val="0068185F"/>
    <w:rsid w:val="00682AF8"/>
    <w:rsid w:val="006942EB"/>
    <w:rsid w:val="006A103F"/>
    <w:rsid w:val="006A2250"/>
    <w:rsid w:val="006A2A40"/>
    <w:rsid w:val="006A5057"/>
    <w:rsid w:val="006A59ED"/>
    <w:rsid w:val="006A5CCE"/>
    <w:rsid w:val="006B08A4"/>
    <w:rsid w:val="006B148E"/>
    <w:rsid w:val="006B43FE"/>
    <w:rsid w:val="006B5EAC"/>
    <w:rsid w:val="006B69F1"/>
    <w:rsid w:val="006C0AE4"/>
    <w:rsid w:val="006C1BC0"/>
    <w:rsid w:val="006C335A"/>
    <w:rsid w:val="006C4B77"/>
    <w:rsid w:val="006C62AD"/>
    <w:rsid w:val="006D04F0"/>
    <w:rsid w:val="006D1B9B"/>
    <w:rsid w:val="006D2523"/>
    <w:rsid w:val="006D65FF"/>
    <w:rsid w:val="006D6DE3"/>
    <w:rsid w:val="006D78B1"/>
    <w:rsid w:val="006E31A6"/>
    <w:rsid w:val="006E50E9"/>
    <w:rsid w:val="006E7FB5"/>
    <w:rsid w:val="006F000F"/>
    <w:rsid w:val="006F1149"/>
    <w:rsid w:val="006F1D1A"/>
    <w:rsid w:val="007024BB"/>
    <w:rsid w:val="007026DA"/>
    <w:rsid w:val="00710467"/>
    <w:rsid w:val="00711F99"/>
    <w:rsid w:val="00711FAE"/>
    <w:rsid w:val="00713621"/>
    <w:rsid w:val="0071440F"/>
    <w:rsid w:val="007144EC"/>
    <w:rsid w:val="00714DB6"/>
    <w:rsid w:val="00721019"/>
    <w:rsid w:val="00721F05"/>
    <w:rsid w:val="00724321"/>
    <w:rsid w:val="007253DC"/>
    <w:rsid w:val="00731022"/>
    <w:rsid w:val="00731422"/>
    <w:rsid w:val="00734ABF"/>
    <w:rsid w:val="0073529B"/>
    <w:rsid w:val="00736677"/>
    <w:rsid w:val="00741ED9"/>
    <w:rsid w:val="00742564"/>
    <w:rsid w:val="00742AD0"/>
    <w:rsid w:val="0074561B"/>
    <w:rsid w:val="00745E83"/>
    <w:rsid w:val="00747ECB"/>
    <w:rsid w:val="00752CC7"/>
    <w:rsid w:val="00757157"/>
    <w:rsid w:val="0076007A"/>
    <w:rsid w:val="00760A74"/>
    <w:rsid w:val="00761991"/>
    <w:rsid w:val="00762FD0"/>
    <w:rsid w:val="007635FA"/>
    <w:rsid w:val="007653D5"/>
    <w:rsid w:val="007664CD"/>
    <w:rsid w:val="00767695"/>
    <w:rsid w:val="00774904"/>
    <w:rsid w:val="00775560"/>
    <w:rsid w:val="00781F27"/>
    <w:rsid w:val="00782212"/>
    <w:rsid w:val="0078351D"/>
    <w:rsid w:val="00786037"/>
    <w:rsid w:val="0078772F"/>
    <w:rsid w:val="00787ED6"/>
    <w:rsid w:val="00791941"/>
    <w:rsid w:val="00796672"/>
    <w:rsid w:val="0079688B"/>
    <w:rsid w:val="00797D8B"/>
    <w:rsid w:val="007A0FF7"/>
    <w:rsid w:val="007A27EE"/>
    <w:rsid w:val="007A2DB2"/>
    <w:rsid w:val="007A5743"/>
    <w:rsid w:val="007A5C2E"/>
    <w:rsid w:val="007A64A4"/>
    <w:rsid w:val="007A67DA"/>
    <w:rsid w:val="007A684D"/>
    <w:rsid w:val="007B0A27"/>
    <w:rsid w:val="007B0B5C"/>
    <w:rsid w:val="007B0C74"/>
    <w:rsid w:val="007B1F60"/>
    <w:rsid w:val="007B6432"/>
    <w:rsid w:val="007C06A8"/>
    <w:rsid w:val="007C2034"/>
    <w:rsid w:val="007C3CD7"/>
    <w:rsid w:val="007C413C"/>
    <w:rsid w:val="007C4368"/>
    <w:rsid w:val="007C461F"/>
    <w:rsid w:val="007C5053"/>
    <w:rsid w:val="007D54CF"/>
    <w:rsid w:val="007F2668"/>
    <w:rsid w:val="007F29DC"/>
    <w:rsid w:val="007F30B1"/>
    <w:rsid w:val="007F4721"/>
    <w:rsid w:val="007F6034"/>
    <w:rsid w:val="007F7AC3"/>
    <w:rsid w:val="0080075B"/>
    <w:rsid w:val="00804BFF"/>
    <w:rsid w:val="00810692"/>
    <w:rsid w:val="00812800"/>
    <w:rsid w:val="00816397"/>
    <w:rsid w:val="0082248C"/>
    <w:rsid w:val="00824354"/>
    <w:rsid w:val="00824C3A"/>
    <w:rsid w:val="008253EC"/>
    <w:rsid w:val="00830172"/>
    <w:rsid w:val="0083065D"/>
    <w:rsid w:val="008378A6"/>
    <w:rsid w:val="00842460"/>
    <w:rsid w:val="008424BB"/>
    <w:rsid w:val="008453C3"/>
    <w:rsid w:val="00845C64"/>
    <w:rsid w:val="0085262D"/>
    <w:rsid w:val="00855B95"/>
    <w:rsid w:val="00862FD9"/>
    <w:rsid w:val="0086582D"/>
    <w:rsid w:val="00865C71"/>
    <w:rsid w:val="008669A8"/>
    <w:rsid w:val="00867024"/>
    <w:rsid w:val="008726B4"/>
    <w:rsid w:val="008741DB"/>
    <w:rsid w:val="0087526B"/>
    <w:rsid w:val="0088165B"/>
    <w:rsid w:val="00882419"/>
    <w:rsid w:val="0088263B"/>
    <w:rsid w:val="00884325"/>
    <w:rsid w:val="00886178"/>
    <w:rsid w:val="00887E94"/>
    <w:rsid w:val="00891094"/>
    <w:rsid w:val="00892771"/>
    <w:rsid w:val="008929EA"/>
    <w:rsid w:val="008A1F7F"/>
    <w:rsid w:val="008A4730"/>
    <w:rsid w:val="008A5B7B"/>
    <w:rsid w:val="008A5BD7"/>
    <w:rsid w:val="008A66D9"/>
    <w:rsid w:val="008A6DF7"/>
    <w:rsid w:val="008B1434"/>
    <w:rsid w:val="008B3EB2"/>
    <w:rsid w:val="008B6AEB"/>
    <w:rsid w:val="008C039C"/>
    <w:rsid w:val="008C0E55"/>
    <w:rsid w:val="008C43D4"/>
    <w:rsid w:val="008D01E3"/>
    <w:rsid w:val="008D05FA"/>
    <w:rsid w:val="008D07A9"/>
    <w:rsid w:val="008D0C9C"/>
    <w:rsid w:val="008D24A3"/>
    <w:rsid w:val="008E0802"/>
    <w:rsid w:val="008E164F"/>
    <w:rsid w:val="008E1F27"/>
    <w:rsid w:val="008E2913"/>
    <w:rsid w:val="008E3B61"/>
    <w:rsid w:val="008E5B47"/>
    <w:rsid w:val="008E6B55"/>
    <w:rsid w:val="008E7445"/>
    <w:rsid w:val="008F2332"/>
    <w:rsid w:val="008F2776"/>
    <w:rsid w:val="008F3F8F"/>
    <w:rsid w:val="008F4067"/>
    <w:rsid w:val="008F5777"/>
    <w:rsid w:val="009020FF"/>
    <w:rsid w:val="0090516F"/>
    <w:rsid w:val="009065BC"/>
    <w:rsid w:val="009066BC"/>
    <w:rsid w:val="00907238"/>
    <w:rsid w:val="00912ED5"/>
    <w:rsid w:val="009141B3"/>
    <w:rsid w:val="00915CF2"/>
    <w:rsid w:val="00924FA4"/>
    <w:rsid w:val="00932570"/>
    <w:rsid w:val="00932BE1"/>
    <w:rsid w:val="00934C2B"/>
    <w:rsid w:val="00946D37"/>
    <w:rsid w:val="00947D41"/>
    <w:rsid w:val="009553F5"/>
    <w:rsid w:val="009561AF"/>
    <w:rsid w:val="0095689F"/>
    <w:rsid w:val="00956B78"/>
    <w:rsid w:val="00957B98"/>
    <w:rsid w:val="00957D10"/>
    <w:rsid w:val="00964EAB"/>
    <w:rsid w:val="00970305"/>
    <w:rsid w:val="00974942"/>
    <w:rsid w:val="009775A4"/>
    <w:rsid w:val="00977996"/>
    <w:rsid w:val="009810DF"/>
    <w:rsid w:val="00983ADB"/>
    <w:rsid w:val="0098614B"/>
    <w:rsid w:val="00987DD9"/>
    <w:rsid w:val="00990AFA"/>
    <w:rsid w:val="00994B35"/>
    <w:rsid w:val="0099725D"/>
    <w:rsid w:val="00997CD4"/>
    <w:rsid w:val="009A1FCA"/>
    <w:rsid w:val="009A37BA"/>
    <w:rsid w:val="009A4158"/>
    <w:rsid w:val="009A4BB2"/>
    <w:rsid w:val="009A5170"/>
    <w:rsid w:val="009A66FD"/>
    <w:rsid w:val="009A71BC"/>
    <w:rsid w:val="009B044A"/>
    <w:rsid w:val="009B2F73"/>
    <w:rsid w:val="009B4B01"/>
    <w:rsid w:val="009B57E2"/>
    <w:rsid w:val="009C0553"/>
    <w:rsid w:val="009C2D5E"/>
    <w:rsid w:val="009C4145"/>
    <w:rsid w:val="009C7ABB"/>
    <w:rsid w:val="009D2537"/>
    <w:rsid w:val="009D413A"/>
    <w:rsid w:val="009D78BD"/>
    <w:rsid w:val="009E4772"/>
    <w:rsid w:val="009E62F0"/>
    <w:rsid w:val="009F06E6"/>
    <w:rsid w:val="00A003AD"/>
    <w:rsid w:val="00A02079"/>
    <w:rsid w:val="00A042BF"/>
    <w:rsid w:val="00A045B2"/>
    <w:rsid w:val="00A04ECF"/>
    <w:rsid w:val="00A051C2"/>
    <w:rsid w:val="00A05DA1"/>
    <w:rsid w:val="00A10243"/>
    <w:rsid w:val="00A11EEA"/>
    <w:rsid w:val="00A14B3C"/>
    <w:rsid w:val="00A14F9F"/>
    <w:rsid w:val="00A14FC2"/>
    <w:rsid w:val="00A15467"/>
    <w:rsid w:val="00A15485"/>
    <w:rsid w:val="00A1685C"/>
    <w:rsid w:val="00A213D1"/>
    <w:rsid w:val="00A23928"/>
    <w:rsid w:val="00A24532"/>
    <w:rsid w:val="00A24D16"/>
    <w:rsid w:val="00A25CC5"/>
    <w:rsid w:val="00A26F25"/>
    <w:rsid w:val="00A27B3C"/>
    <w:rsid w:val="00A36A07"/>
    <w:rsid w:val="00A40736"/>
    <w:rsid w:val="00A52D9D"/>
    <w:rsid w:val="00A5414F"/>
    <w:rsid w:val="00A555EB"/>
    <w:rsid w:val="00A600A4"/>
    <w:rsid w:val="00A67C2C"/>
    <w:rsid w:val="00A71654"/>
    <w:rsid w:val="00A71902"/>
    <w:rsid w:val="00A751AB"/>
    <w:rsid w:val="00A81C26"/>
    <w:rsid w:val="00A822F0"/>
    <w:rsid w:val="00A870BA"/>
    <w:rsid w:val="00A901BC"/>
    <w:rsid w:val="00A92CD2"/>
    <w:rsid w:val="00A964DC"/>
    <w:rsid w:val="00A97E95"/>
    <w:rsid w:val="00AA2141"/>
    <w:rsid w:val="00AA2237"/>
    <w:rsid w:val="00AB1CA6"/>
    <w:rsid w:val="00AC2631"/>
    <w:rsid w:val="00AC41FA"/>
    <w:rsid w:val="00AD2997"/>
    <w:rsid w:val="00AD36AE"/>
    <w:rsid w:val="00AD7D1C"/>
    <w:rsid w:val="00AE6FFE"/>
    <w:rsid w:val="00AE7FEF"/>
    <w:rsid w:val="00AF17AC"/>
    <w:rsid w:val="00AF2DDB"/>
    <w:rsid w:val="00AF699C"/>
    <w:rsid w:val="00B03DE5"/>
    <w:rsid w:val="00B04202"/>
    <w:rsid w:val="00B12188"/>
    <w:rsid w:val="00B12984"/>
    <w:rsid w:val="00B12C08"/>
    <w:rsid w:val="00B12D8C"/>
    <w:rsid w:val="00B14454"/>
    <w:rsid w:val="00B17846"/>
    <w:rsid w:val="00B24EC8"/>
    <w:rsid w:val="00B25239"/>
    <w:rsid w:val="00B260CE"/>
    <w:rsid w:val="00B27D07"/>
    <w:rsid w:val="00B303E2"/>
    <w:rsid w:val="00B3058E"/>
    <w:rsid w:val="00B319BC"/>
    <w:rsid w:val="00B32B18"/>
    <w:rsid w:val="00B349CA"/>
    <w:rsid w:val="00B37813"/>
    <w:rsid w:val="00B403DB"/>
    <w:rsid w:val="00B41F00"/>
    <w:rsid w:val="00B42276"/>
    <w:rsid w:val="00B45661"/>
    <w:rsid w:val="00B47A12"/>
    <w:rsid w:val="00B54154"/>
    <w:rsid w:val="00B5558F"/>
    <w:rsid w:val="00B559D6"/>
    <w:rsid w:val="00B569A8"/>
    <w:rsid w:val="00B575A4"/>
    <w:rsid w:val="00B60F8B"/>
    <w:rsid w:val="00B61843"/>
    <w:rsid w:val="00B651C6"/>
    <w:rsid w:val="00B717F2"/>
    <w:rsid w:val="00B7661C"/>
    <w:rsid w:val="00B82CF0"/>
    <w:rsid w:val="00B87FCD"/>
    <w:rsid w:val="00B902D5"/>
    <w:rsid w:val="00B90C2E"/>
    <w:rsid w:val="00B9486B"/>
    <w:rsid w:val="00B96FDC"/>
    <w:rsid w:val="00BA2CA4"/>
    <w:rsid w:val="00BA30D4"/>
    <w:rsid w:val="00BA674A"/>
    <w:rsid w:val="00BA6A9B"/>
    <w:rsid w:val="00BA7745"/>
    <w:rsid w:val="00BA777A"/>
    <w:rsid w:val="00BA786D"/>
    <w:rsid w:val="00BB14E6"/>
    <w:rsid w:val="00BB2507"/>
    <w:rsid w:val="00BB3BA7"/>
    <w:rsid w:val="00BB3CB5"/>
    <w:rsid w:val="00BC2464"/>
    <w:rsid w:val="00BC2B91"/>
    <w:rsid w:val="00BC49B7"/>
    <w:rsid w:val="00BC7B1E"/>
    <w:rsid w:val="00BC7EB7"/>
    <w:rsid w:val="00BD0C00"/>
    <w:rsid w:val="00BD2E54"/>
    <w:rsid w:val="00BD4929"/>
    <w:rsid w:val="00BD7BB0"/>
    <w:rsid w:val="00BE4B95"/>
    <w:rsid w:val="00BE564D"/>
    <w:rsid w:val="00BE5FBA"/>
    <w:rsid w:val="00BE6BBD"/>
    <w:rsid w:val="00BE7162"/>
    <w:rsid w:val="00BF07FC"/>
    <w:rsid w:val="00BF1AC2"/>
    <w:rsid w:val="00BF784F"/>
    <w:rsid w:val="00C05AC0"/>
    <w:rsid w:val="00C0727B"/>
    <w:rsid w:val="00C10A34"/>
    <w:rsid w:val="00C10EE3"/>
    <w:rsid w:val="00C1169F"/>
    <w:rsid w:val="00C12D8F"/>
    <w:rsid w:val="00C13334"/>
    <w:rsid w:val="00C21181"/>
    <w:rsid w:val="00C23790"/>
    <w:rsid w:val="00C30351"/>
    <w:rsid w:val="00C331E2"/>
    <w:rsid w:val="00C359CF"/>
    <w:rsid w:val="00C40A4A"/>
    <w:rsid w:val="00C41DC4"/>
    <w:rsid w:val="00C447CB"/>
    <w:rsid w:val="00C51359"/>
    <w:rsid w:val="00C5298E"/>
    <w:rsid w:val="00C54103"/>
    <w:rsid w:val="00C56400"/>
    <w:rsid w:val="00C634B4"/>
    <w:rsid w:val="00C66DB3"/>
    <w:rsid w:val="00C67C1E"/>
    <w:rsid w:val="00C7517C"/>
    <w:rsid w:val="00C75B76"/>
    <w:rsid w:val="00C80016"/>
    <w:rsid w:val="00C8069E"/>
    <w:rsid w:val="00C80748"/>
    <w:rsid w:val="00C80ED1"/>
    <w:rsid w:val="00C813E7"/>
    <w:rsid w:val="00C83996"/>
    <w:rsid w:val="00C87208"/>
    <w:rsid w:val="00C87B7E"/>
    <w:rsid w:val="00C907D7"/>
    <w:rsid w:val="00C912C6"/>
    <w:rsid w:val="00C927F4"/>
    <w:rsid w:val="00C94153"/>
    <w:rsid w:val="00CA38C0"/>
    <w:rsid w:val="00CA3AC2"/>
    <w:rsid w:val="00CA7160"/>
    <w:rsid w:val="00CB09D4"/>
    <w:rsid w:val="00CB46C3"/>
    <w:rsid w:val="00CC24F4"/>
    <w:rsid w:val="00CC2D00"/>
    <w:rsid w:val="00CC6950"/>
    <w:rsid w:val="00CC7734"/>
    <w:rsid w:val="00CC795F"/>
    <w:rsid w:val="00CD0196"/>
    <w:rsid w:val="00CD6E1D"/>
    <w:rsid w:val="00CD7423"/>
    <w:rsid w:val="00CD78C4"/>
    <w:rsid w:val="00CD79A1"/>
    <w:rsid w:val="00CE0451"/>
    <w:rsid w:val="00CE1E53"/>
    <w:rsid w:val="00CE4068"/>
    <w:rsid w:val="00CE5556"/>
    <w:rsid w:val="00CE607F"/>
    <w:rsid w:val="00CE693B"/>
    <w:rsid w:val="00CF007B"/>
    <w:rsid w:val="00CF01EE"/>
    <w:rsid w:val="00CF148F"/>
    <w:rsid w:val="00CF54E3"/>
    <w:rsid w:val="00CF6470"/>
    <w:rsid w:val="00CF6ECC"/>
    <w:rsid w:val="00D019C5"/>
    <w:rsid w:val="00D03A85"/>
    <w:rsid w:val="00D04832"/>
    <w:rsid w:val="00D04C94"/>
    <w:rsid w:val="00D05B81"/>
    <w:rsid w:val="00D12307"/>
    <w:rsid w:val="00D1534A"/>
    <w:rsid w:val="00D154DA"/>
    <w:rsid w:val="00D20207"/>
    <w:rsid w:val="00D23711"/>
    <w:rsid w:val="00D24856"/>
    <w:rsid w:val="00D27475"/>
    <w:rsid w:val="00D27FF4"/>
    <w:rsid w:val="00D3060D"/>
    <w:rsid w:val="00D34A71"/>
    <w:rsid w:val="00D37E69"/>
    <w:rsid w:val="00D403B6"/>
    <w:rsid w:val="00D40A68"/>
    <w:rsid w:val="00D41FDD"/>
    <w:rsid w:val="00D43B89"/>
    <w:rsid w:val="00D54528"/>
    <w:rsid w:val="00D56796"/>
    <w:rsid w:val="00D64246"/>
    <w:rsid w:val="00D656CA"/>
    <w:rsid w:val="00D65806"/>
    <w:rsid w:val="00D65F5B"/>
    <w:rsid w:val="00D70134"/>
    <w:rsid w:val="00D70576"/>
    <w:rsid w:val="00D70E95"/>
    <w:rsid w:val="00D74907"/>
    <w:rsid w:val="00D76B35"/>
    <w:rsid w:val="00D8309E"/>
    <w:rsid w:val="00D83C50"/>
    <w:rsid w:val="00D84579"/>
    <w:rsid w:val="00D86DB0"/>
    <w:rsid w:val="00D8733F"/>
    <w:rsid w:val="00D87BDB"/>
    <w:rsid w:val="00D92F80"/>
    <w:rsid w:val="00D93243"/>
    <w:rsid w:val="00D94123"/>
    <w:rsid w:val="00D97CDF"/>
    <w:rsid w:val="00DA01D6"/>
    <w:rsid w:val="00DA2032"/>
    <w:rsid w:val="00DA5451"/>
    <w:rsid w:val="00DA5FF2"/>
    <w:rsid w:val="00DB1981"/>
    <w:rsid w:val="00DB2DC8"/>
    <w:rsid w:val="00DB3729"/>
    <w:rsid w:val="00DB44FA"/>
    <w:rsid w:val="00DB73B5"/>
    <w:rsid w:val="00DB7B70"/>
    <w:rsid w:val="00DC11AF"/>
    <w:rsid w:val="00DC6758"/>
    <w:rsid w:val="00DD3FC3"/>
    <w:rsid w:val="00DD7834"/>
    <w:rsid w:val="00DD78F1"/>
    <w:rsid w:val="00DE0E19"/>
    <w:rsid w:val="00DF46A2"/>
    <w:rsid w:val="00DF5509"/>
    <w:rsid w:val="00DF582F"/>
    <w:rsid w:val="00DF657C"/>
    <w:rsid w:val="00DF7018"/>
    <w:rsid w:val="00E00D2C"/>
    <w:rsid w:val="00E01CAA"/>
    <w:rsid w:val="00E048F3"/>
    <w:rsid w:val="00E04E94"/>
    <w:rsid w:val="00E05182"/>
    <w:rsid w:val="00E14F93"/>
    <w:rsid w:val="00E16123"/>
    <w:rsid w:val="00E16B5E"/>
    <w:rsid w:val="00E200AD"/>
    <w:rsid w:val="00E202E7"/>
    <w:rsid w:val="00E203DC"/>
    <w:rsid w:val="00E22C3D"/>
    <w:rsid w:val="00E2375D"/>
    <w:rsid w:val="00E2464B"/>
    <w:rsid w:val="00E271BF"/>
    <w:rsid w:val="00E3424D"/>
    <w:rsid w:val="00E34ACA"/>
    <w:rsid w:val="00E34D26"/>
    <w:rsid w:val="00E43129"/>
    <w:rsid w:val="00E528F2"/>
    <w:rsid w:val="00E54BF1"/>
    <w:rsid w:val="00E55568"/>
    <w:rsid w:val="00E5598A"/>
    <w:rsid w:val="00E55F08"/>
    <w:rsid w:val="00E6196F"/>
    <w:rsid w:val="00E63BB3"/>
    <w:rsid w:val="00E704A8"/>
    <w:rsid w:val="00E711A7"/>
    <w:rsid w:val="00E72049"/>
    <w:rsid w:val="00E722ED"/>
    <w:rsid w:val="00E736F3"/>
    <w:rsid w:val="00E7655A"/>
    <w:rsid w:val="00E77E6E"/>
    <w:rsid w:val="00E84C6E"/>
    <w:rsid w:val="00E85041"/>
    <w:rsid w:val="00E9211D"/>
    <w:rsid w:val="00E92A23"/>
    <w:rsid w:val="00E93A8A"/>
    <w:rsid w:val="00E95236"/>
    <w:rsid w:val="00E95238"/>
    <w:rsid w:val="00E9544A"/>
    <w:rsid w:val="00E97BD6"/>
    <w:rsid w:val="00EA02F5"/>
    <w:rsid w:val="00EA2E69"/>
    <w:rsid w:val="00EB1C65"/>
    <w:rsid w:val="00EB3265"/>
    <w:rsid w:val="00EC47CD"/>
    <w:rsid w:val="00EC4D7E"/>
    <w:rsid w:val="00EC4E4C"/>
    <w:rsid w:val="00EC66BD"/>
    <w:rsid w:val="00EE10C1"/>
    <w:rsid w:val="00EE1587"/>
    <w:rsid w:val="00EE2A6B"/>
    <w:rsid w:val="00F008E9"/>
    <w:rsid w:val="00F03B0C"/>
    <w:rsid w:val="00F062CB"/>
    <w:rsid w:val="00F174C5"/>
    <w:rsid w:val="00F17B7A"/>
    <w:rsid w:val="00F21968"/>
    <w:rsid w:val="00F271E3"/>
    <w:rsid w:val="00F27DCC"/>
    <w:rsid w:val="00F35456"/>
    <w:rsid w:val="00F407DB"/>
    <w:rsid w:val="00F434C7"/>
    <w:rsid w:val="00F46426"/>
    <w:rsid w:val="00F46953"/>
    <w:rsid w:val="00F50108"/>
    <w:rsid w:val="00F5363C"/>
    <w:rsid w:val="00F54537"/>
    <w:rsid w:val="00F554FE"/>
    <w:rsid w:val="00F563CF"/>
    <w:rsid w:val="00F5656C"/>
    <w:rsid w:val="00F57D69"/>
    <w:rsid w:val="00F60749"/>
    <w:rsid w:val="00F61F64"/>
    <w:rsid w:val="00F65E80"/>
    <w:rsid w:val="00F669B0"/>
    <w:rsid w:val="00F66C54"/>
    <w:rsid w:val="00F70CF2"/>
    <w:rsid w:val="00F70DC4"/>
    <w:rsid w:val="00F70EB7"/>
    <w:rsid w:val="00F718FE"/>
    <w:rsid w:val="00F7599D"/>
    <w:rsid w:val="00F75E21"/>
    <w:rsid w:val="00F772F3"/>
    <w:rsid w:val="00F801B1"/>
    <w:rsid w:val="00F80D0E"/>
    <w:rsid w:val="00F80D4A"/>
    <w:rsid w:val="00F82159"/>
    <w:rsid w:val="00F82EE8"/>
    <w:rsid w:val="00F90B02"/>
    <w:rsid w:val="00F91269"/>
    <w:rsid w:val="00F92667"/>
    <w:rsid w:val="00F934EC"/>
    <w:rsid w:val="00F94EC5"/>
    <w:rsid w:val="00F9511F"/>
    <w:rsid w:val="00F95E9A"/>
    <w:rsid w:val="00F97123"/>
    <w:rsid w:val="00F971A2"/>
    <w:rsid w:val="00F97401"/>
    <w:rsid w:val="00FA2819"/>
    <w:rsid w:val="00FA4240"/>
    <w:rsid w:val="00FA4A23"/>
    <w:rsid w:val="00FB15F9"/>
    <w:rsid w:val="00FB1B79"/>
    <w:rsid w:val="00FB1C7F"/>
    <w:rsid w:val="00FB2176"/>
    <w:rsid w:val="00FB3881"/>
    <w:rsid w:val="00FB3EA0"/>
    <w:rsid w:val="00FC0122"/>
    <w:rsid w:val="00FC1076"/>
    <w:rsid w:val="00FC61E5"/>
    <w:rsid w:val="00FC61F9"/>
    <w:rsid w:val="00FC6579"/>
    <w:rsid w:val="00FD05F7"/>
    <w:rsid w:val="00FD391F"/>
    <w:rsid w:val="00FE35CD"/>
    <w:rsid w:val="00FE45D7"/>
    <w:rsid w:val="00FE60D4"/>
    <w:rsid w:val="00FE70BA"/>
    <w:rsid w:val="00FF124A"/>
    <w:rsid w:val="00FF574A"/>
    <w:rsid w:val="00FF6315"/>
    <w:rsid w:val="00FF6C26"/>
    <w:rsid w:val="00FF729F"/>
    <w:rsid w:val="00FF79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8D216B"/>
  <w15:chartTrackingRefBased/>
  <w15:docId w15:val="{9AC6783E-2FDF-41F8-AECC-C720AAE90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56400"/>
    <w:rPr>
      <w:rFonts w:eastAsia="MS Mincho"/>
      <w:sz w:val="24"/>
      <w:szCs w:val="24"/>
    </w:rPr>
  </w:style>
  <w:style w:type="paragraph" w:styleId="Heading1">
    <w:name w:val="heading 1"/>
    <w:basedOn w:val="Normal"/>
    <w:next w:val="Normal"/>
    <w:link w:val="Heading1Char"/>
    <w:uiPriority w:val="9"/>
    <w:qFormat/>
    <w:rsid w:val="00541C12"/>
    <w:pPr>
      <w:keepNext/>
      <w:keepLines/>
      <w:spacing w:line="360" w:lineRule="auto"/>
      <w:jc w:val="both"/>
      <w:outlineLvl w:val="0"/>
    </w:pPr>
    <w:rPr>
      <w:rFonts w:ascii="Century Gothic" w:eastAsia="Times New Roman" w:hAnsi="Century Gothic"/>
      <w:b/>
      <w:color w:val="000000"/>
      <w:sz w:val="20"/>
      <w:szCs w:val="32"/>
      <w:lang w:val="id-ID" w:eastAsia="x-none"/>
    </w:rPr>
  </w:style>
  <w:style w:type="paragraph" w:styleId="Heading2">
    <w:name w:val="heading 2"/>
    <w:basedOn w:val="Normal"/>
    <w:next w:val="Normal"/>
    <w:link w:val="Heading2Char"/>
    <w:semiHidden/>
    <w:unhideWhenUsed/>
    <w:qFormat/>
    <w:rsid w:val="00C05AC0"/>
    <w:pPr>
      <w:keepNext/>
      <w:spacing w:before="240" w:after="60"/>
      <w:outlineLvl w:val="1"/>
    </w:pPr>
    <w:rPr>
      <w:rFonts w:ascii="Cambria" w:eastAsia="Times New Roman" w:hAnsi="Cambria"/>
      <w:b/>
      <w:bCs/>
      <w:i/>
      <w:iCs/>
      <w:sz w:val="28"/>
      <w:szCs w:val="28"/>
      <w:lang w:val="x-none" w:eastAsia="x-none"/>
    </w:rPr>
  </w:style>
  <w:style w:type="paragraph" w:styleId="Heading3">
    <w:name w:val="heading 3"/>
    <w:basedOn w:val="Normal"/>
    <w:next w:val="Normal"/>
    <w:link w:val="Heading3Char"/>
    <w:semiHidden/>
    <w:unhideWhenUsed/>
    <w:qFormat/>
    <w:rsid w:val="007A5C2E"/>
    <w:pPr>
      <w:keepNext/>
      <w:spacing w:before="240" w:after="60"/>
      <w:outlineLvl w:val="2"/>
    </w:pPr>
    <w:rPr>
      <w:rFonts w:ascii="Calibri Light" w:eastAsia="Times New Roman" w:hAnsi="Calibri Light"/>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qFormat/>
    <w:rsid w:val="008F5777"/>
    <w:rPr>
      <w:color w:val="0000FF"/>
      <w:u w:val="single"/>
    </w:rPr>
  </w:style>
  <w:style w:type="paragraph" w:styleId="BodyTextIndent3">
    <w:name w:val="Body Text Indent 3"/>
    <w:basedOn w:val="Normal"/>
    <w:link w:val="BodyTextIndent3Char"/>
    <w:rsid w:val="000C5365"/>
    <w:pPr>
      <w:ind w:firstLine="360"/>
      <w:jc w:val="both"/>
    </w:pPr>
    <w:rPr>
      <w:lang w:val="x-none" w:eastAsia="x-none"/>
    </w:rPr>
  </w:style>
  <w:style w:type="character" w:styleId="FollowedHyperlink">
    <w:name w:val="FollowedHyperlink"/>
    <w:rsid w:val="00652DCA"/>
    <w:rPr>
      <w:color w:val="800080"/>
      <w:u w:val="single"/>
    </w:rPr>
  </w:style>
  <w:style w:type="paragraph" w:styleId="BalloonText">
    <w:name w:val="Balloon Text"/>
    <w:basedOn w:val="Normal"/>
    <w:link w:val="BalloonTextChar"/>
    <w:rsid w:val="000644D4"/>
    <w:rPr>
      <w:rFonts w:ascii="Tahoma" w:hAnsi="Tahoma"/>
      <w:sz w:val="16"/>
      <w:szCs w:val="16"/>
      <w:lang w:val="x-none" w:eastAsia="x-none"/>
    </w:rPr>
  </w:style>
  <w:style w:type="character" w:customStyle="1" w:styleId="BalloonTextChar">
    <w:name w:val="Balloon Text Char"/>
    <w:link w:val="BalloonText"/>
    <w:rsid w:val="000644D4"/>
    <w:rPr>
      <w:rFonts w:ascii="Tahoma" w:eastAsia="MS Mincho" w:hAnsi="Tahoma" w:cs="Tahoma"/>
      <w:sz w:val="16"/>
      <w:szCs w:val="16"/>
    </w:rPr>
  </w:style>
  <w:style w:type="paragraph" w:styleId="Header">
    <w:name w:val="header"/>
    <w:basedOn w:val="Normal"/>
    <w:link w:val="HeaderChar"/>
    <w:uiPriority w:val="99"/>
    <w:unhideWhenUsed/>
    <w:rsid w:val="00994B35"/>
    <w:pPr>
      <w:tabs>
        <w:tab w:val="center" w:pos="4680"/>
        <w:tab w:val="right" w:pos="9360"/>
      </w:tabs>
    </w:pPr>
    <w:rPr>
      <w:lang w:val="x-none" w:eastAsia="x-none"/>
    </w:rPr>
  </w:style>
  <w:style w:type="character" w:customStyle="1" w:styleId="HeaderChar">
    <w:name w:val="Header Char"/>
    <w:link w:val="Header"/>
    <w:uiPriority w:val="99"/>
    <w:rsid w:val="00994B35"/>
    <w:rPr>
      <w:rFonts w:eastAsia="MS Mincho"/>
      <w:sz w:val="24"/>
      <w:szCs w:val="24"/>
    </w:rPr>
  </w:style>
  <w:style w:type="paragraph" w:styleId="Footer">
    <w:name w:val="footer"/>
    <w:basedOn w:val="Normal"/>
    <w:link w:val="FooterChar"/>
    <w:uiPriority w:val="99"/>
    <w:unhideWhenUsed/>
    <w:rsid w:val="00994B35"/>
    <w:pPr>
      <w:tabs>
        <w:tab w:val="center" w:pos="4680"/>
        <w:tab w:val="right" w:pos="9360"/>
      </w:tabs>
    </w:pPr>
    <w:rPr>
      <w:lang w:val="x-none" w:eastAsia="x-none"/>
    </w:rPr>
  </w:style>
  <w:style w:type="character" w:customStyle="1" w:styleId="FooterChar">
    <w:name w:val="Footer Char"/>
    <w:link w:val="Footer"/>
    <w:uiPriority w:val="99"/>
    <w:rsid w:val="00994B35"/>
    <w:rPr>
      <w:rFonts w:eastAsia="MS Mincho"/>
      <w:sz w:val="24"/>
      <w:szCs w:val="24"/>
    </w:rPr>
  </w:style>
  <w:style w:type="paragraph" w:styleId="EndnoteText">
    <w:name w:val="endnote text"/>
    <w:basedOn w:val="Normal"/>
    <w:link w:val="EndnoteTextChar"/>
    <w:semiHidden/>
    <w:unhideWhenUsed/>
    <w:rsid w:val="0012297D"/>
    <w:rPr>
      <w:sz w:val="20"/>
      <w:szCs w:val="20"/>
      <w:lang w:val="x-none" w:eastAsia="x-none"/>
    </w:rPr>
  </w:style>
  <w:style w:type="character" w:customStyle="1" w:styleId="EndnoteTextChar">
    <w:name w:val="Endnote Text Char"/>
    <w:link w:val="EndnoteText"/>
    <w:semiHidden/>
    <w:rsid w:val="0012297D"/>
    <w:rPr>
      <w:rFonts w:eastAsia="MS Mincho"/>
    </w:rPr>
  </w:style>
  <w:style w:type="character" w:styleId="EndnoteReference">
    <w:name w:val="endnote reference"/>
    <w:semiHidden/>
    <w:unhideWhenUsed/>
    <w:rsid w:val="0012297D"/>
    <w:rPr>
      <w:vertAlign w:val="superscript"/>
    </w:rPr>
  </w:style>
  <w:style w:type="paragraph" w:styleId="FootnoteText">
    <w:name w:val="footnote text"/>
    <w:aliases w:val="Char,Footnote Text Char Char,Char Char Char,Char Char2 Char,Footnote Text Char Char Char Char,Footnote Text Char Char Char Char Char Char Char Char,Char Char Char Char Char Char Char Char Char Char Char,Char Char Char Char Char Char"/>
    <w:basedOn w:val="Normal"/>
    <w:link w:val="FootnoteTextChar"/>
    <w:unhideWhenUsed/>
    <w:qFormat/>
    <w:rsid w:val="0012297D"/>
    <w:rPr>
      <w:sz w:val="20"/>
      <w:szCs w:val="20"/>
      <w:lang w:val="x-none" w:eastAsia="x-none"/>
    </w:rPr>
  </w:style>
  <w:style w:type="character" w:customStyle="1" w:styleId="FootnoteTextChar">
    <w:name w:val="Footnote Text Char"/>
    <w:aliases w:val="Char Char,Footnote Text Char Char Char,Char Char Char Char,Char Char2 Char Char,Footnote Text Char Char Char Char Char,Footnote Text Char Char Char Char Char Char Char Char Char,Char Char Char Char Char Char Char"/>
    <w:link w:val="FootnoteText"/>
    <w:qFormat/>
    <w:rsid w:val="0012297D"/>
    <w:rPr>
      <w:rFonts w:eastAsia="MS Mincho"/>
    </w:rPr>
  </w:style>
  <w:style w:type="character" w:styleId="FootnoteReference">
    <w:name w:val="footnote reference"/>
    <w:unhideWhenUsed/>
    <w:qFormat/>
    <w:rsid w:val="0012297D"/>
    <w:rPr>
      <w:vertAlign w:val="superscript"/>
    </w:rPr>
  </w:style>
  <w:style w:type="paragraph" w:styleId="ListParagraph">
    <w:name w:val="List Paragraph"/>
    <w:aliases w:val="Body of text,List Paragraph1,Colorful List - Accent 11,Body of text+1,Body of text+2,Body of text+3,List Paragraph11,HEADING 1,Medium Grid 1 - Accent 21,Heading 11,Heading 111,Heading 12,Heading 10,Colorful List - Accent 111,sub-section,r"/>
    <w:basedOn w:val="Normal"/>
    <w:link w:val="ListParagraphChar"/>
    <w:uiPriority w:val="34"/>
    <w:qFormat/>
    <w:rsid w:val="00B45661"/>
    <w:pPr>
      <w:ind w:left="720"/>
      <w:contextualSpacing/>
    </w:pPr>
    <w:rPr>
      <w:lang w:val="x-none" w:eastAsia="x-none"/>
    </w:rPr>
  </w:style>
  <w:style w:type="paragraph" w:customStyle="1" w:styleId="author">
    <w:name w:val="author"/>
    <w:basedOn w:val="Normal"/>
    <w:qFormat/>
    <w:rsid w:val="00CA38C0"/>
    <w:pPr>
      <w:spacing w:line="260" w:lineRule="atLeast"/>
      <w:jc w:val="right"/>
    </w:pPr>
    <w:rPr>
      <w:rFonts w:eastAsia="Times New Roman"/>
      <w:szCs w:val="20"/>
      <w:lang w:val="en-AU" w:eastAsia="tr-TR"/>
    </w:rPr>
  </w:style>
  <w:style w:type="paragraph" w:customStyle="1" w:styleId="abstract">
    <w:name w:val="abstract"/>
    <w:basedOn w:val="Normal"/>
    <w:qFormat/>
    <w:rsid w:val="00947D41"/>
    <w:pPr>
      <w:spacing w:before="120" w:line="220" w:lineRule="atLeast"/>
      <w:ind w:left="567" w:right="526"/>
      <w:jc w:val="both"/>
    </w:pPr>
    <w:rPr>
      <w:rFonts w:eastAsia="Times New Roman"/>
      <w:i/>
      <w:szCs w:val="20"/>
      <w:lang w:val="en-AU" w:eastAsia="tr-TR"/>
    </w:rPr>
  </w:style>
  <w:style w:type="character" w:customStyle="1" w:styleId="ListParagraphChar">
    <w:name w:val="List Paragraph Char"/>
    <w:aliases w:val="Body of text Char,List Paragraph1 Char,Colorful List - Accent 11 Char,Body of text+1 Char,Body of text+2 Char,Body of text+3 Char,List Paragraph11 Char,HEADING 1 Char,Medium Grid 1 - Accent 21 Char,Heading 11 Char,Heading 111 Char"/>
    <w:link w:val="ListParagraph"/>
    <w:uiPriority w:val="34"/>
    <w:qFormat/>
    <w:rsid w:val="003F397D"/>
    <w:rPr>
      <w:rFonts w:eastAsia="MS Mincho"/>
      <w:sz w:val="24"/>
      <w:szCs w:val="24"/>
    </w:rPr>
  </w:style>
  <w:style w:type="table" w:styleId="TableGrid">
    <w:name w:val="Table Grid"/>
    <w:basedOn w:val="TableNormal"/>
    <w:uiPriority w:val="39"/>
    <w:qFormat/>
    <w:rsid w:val="0073529B"/>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mphasis">
    <w:name w:val="Emphasis"/>
    <w:uiPriority w:val="20"/>
    <w:qFormat/>
    <w:rsid w:val="0012623B"/>
    <w:rPr>
      <w:i/>
      <w:iCs/>
    </w:rPr>
  </w:style>
  <w:style w:type="paragraph" w:styleId="BodyTextIndent">
    <w:name w:val="Body Text Indent"/>
    <w:basedOn w:val="Normal"/>
    <w:link w:val="BodyTextIndentChar"/>
    <w:unhideWhenUsed/>
    <w:rsid w:val="008D24A3"/>
    <w:pPr>
      <w:spacing w:after="120"/>
      <w:ind w:left="360"/>
    </w:pPr>
    <w:rPr>
      <w:lang w:val="x-none" w:eastAsia="x-none"/>
    </w:rPr>
  </w:style>
  <w:style w:type="character" w:customStyle="1" w:styleId="BodyTextIndentChar">
    <w:name w:val="Body Text Indent Char"/>
    <w:link w:val="BodyTextIndent"/>
    <w:rsid w:val="008D24A3"/>
    <w:rPr>
      <w:rFonts w:eastAsia="MS Mincho"/>
      <w:sz w:val="24"/>
      <w:szCs w:val="24"/>
    </w:rPr>
  </w:style>
  <w:style w:type="paragraph" w:styleId="HTMLPreformatted">
    <w:name w:val="HTML Preformatted"/>
    <w:basedOn w:val="Normal"/>
    <w:link w:val="HTMLPreformattedChar"/>
    <w:uiPriority w:val="99"/>
    <w:unhideWhenUsed/>
    <w:rsid w:val="00F80D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val="x-none" w:eastAsia="x-none"/>
    </w:rPr>
  </w:style>
  <w:style w:type="character" w:customStyle="1" w:styleId="HTMLPreformattedChar">
    <w:name w:val="HTML Preformatted Char"/>
    <w:link w:val="HTMLPreformatted"/>
    <w:uiPriority w:val="99"/>
    <w:rsid w:val="00F80D4A"/>
    <w:rPr>
      <w:rFonts w:ascii="Courier New" w:hAnsi="Courier New" w:cs="Courier New"/>
    </w:rPr>
  </w:style>
  <w:style w:type="character" w:customStyle="1" w:styleId="st">
    <w:name w:val="st"/>
    <w:rsid w:val="003A608D"/>
  </w:style>
  <w:style w:type="paragraph" w:customStyle="1" w:styleId="Default">
    <w:name w:val="Default"/>
    <w:qFormat/>
    <w:rsid w:val="00FB1C7F"/>
    <w:pPr>
      <w:autoSpaceDE w:val="0"/>
      <w:autoSpaceDN w:val="0"/>
      <w:adjustRightInd w:val="0"/>
      <w:spacing w:after="160" w:line="259" w:lineRule="auto"/>
    </w:pPr>
    <w:rPr>
      <w:color w:val="000000"/>
      <w:sz w:val="24"/>
      <w:szCs w:val="24"/>
      <w:lang w:val="tr-TR" w:eastAsia="tr-TR"/>
    </w:rPr>
  </w:style>
  <w:style w:type="paragraph" w:customStyle="1" w:styleId="reference">
    <w:name w:val="reference"/>
    <w:basedOn w:val="Normal"/>
    <w:rsid w:val="00010154"/>
    <w:pPr>
      <w:keepLines/>
      <w:spacing w:after="160" w:line="220" w:lineRule="atLeast"/>
      <w:ind w:left="560" w:hanging="560"/>
      <w:jc w:val="both"/>
    </w:pPr>
    <w:rPr>
      <w:rFonts w:eastAsia="Times New Roman"/>
      <w:szCs w:val="20"/>
      <w:lang w:val="en-AU" w:eastAsia="tr-TR"/>
    </w:rPr>
  </w:style>
  <w:style w:type="paragraph" w:styleId="BodyText">
    <w:name w:val="Body Text"/>
    <w:basedOn w:val="Normal"/>
    <w:link w:val="BodyTextChar"/>
    <w:unhideWhenUsed/>
    <w:rsid w:val="0024757D"/>
    <w:pPr>
      <w:spacing w:after="120"/>
    </w:pPr>
    <w:rPr>
      <w:lang w:val="x-none" w:eastAsia="x-none"/>
    </w:rPr>
  </w:style>
  <w:style w:type="character" w:customStyle="1" w:styleId="BodyTextChar">
    <w:name w:val="Body Text Char"/>
    <w:link w:val="BodyText"/>
    <w:rsid w:val="0024757D"/>
    <w:rPr>
      <w:rFonts w:eastAsia="MS Mincho"/>
      <w:sz w:val="24"/>
      <w:szCs w:val="24"/>
    </w:rPr>
  </w:style>
  <w:style w:type="paragraph" w:customStyle="1" w:styleId="txbrp3">
    <w:name w:val="txbrp3"/>
    <w:basedOn w:val="Normal"/>
    <w:rsid w:val="00113CF2"/>
    <w:pPr>
      <w:spacing w:before="100" w:beforeAutospacing="1" w:after="100" w:afterAutospacing="1"/>
    </w:pPr>
    <w:rPr>
      <w:rFonts w:eastAsia="Times New Roman"/>
    </w:rPr>
  </w:style>
  <w:style w:type="character" w:customStyle="1" w:styleId="hps">
    <w:name w:val="hps"/>
    <w:rsid w:val="00541C12"/>
  </w:style>
  <w:style w:type="character" w:customStyle="1" w:styleId="Heading1Char">
    <w:name w:val="Heading 1 Char"/>
    <w:link w:val="Heading1"/>
    <w:uiPriority w:val="9"/>
    <w:rsid w:val="00541C12"/>
    <w:rPr>
      <w:rFonts w:ascii="Century Gothic" w:hAnsi="Century Gothic"/>
      <w:b/>
      <w:color w:val="000000"/>
      <w:szCs w:val="32"/>
      <w:lang w:val="id-ID"/>
    </w:rPr>
  </w:style>
  <w:style w:type="character" w:customStyle="1" w:styleId="blackclass">
    <w:name w:val="blackclass"/>
    <w:rsid w:val="00541C12"/>
  </w:style>
  <w:style w:type="character" w:customStyle="1" w:styleId="Heading2Char">
    <w:name w:val="Heading 2 Char"/>
    <w:link w:val="Heading2"/>
    <w:semiHidden/>
    <w:rsid w:val="00C05AC0"/>
    <w:rPr>
      <w:rFonts w:ascii="Cambria" w:eastAsia="Times New Roman" w:hAnsi="Cambria" w:cs="Times New Roman"/>
      <w:b/>
      <w:bCs/>
      <w:i/>
      <w:iCs/>
      <w:sz w:val="28"/>
      <w:szCs w:val="28"/>
    </w:rPr>
  </w:style>
  <w:style w:type="paragraph" w:styleId="Title">
    <w:name w:val="Title"/>
    <w:basedOn w:val="Normal"/>
    <w:next w:val="Normal"/>
    <w:link w:val="TitleChar"/>
    <w:uiPriority w:val="10"/>
    <w:qFormat/>
    <w:rsid w:val="00C80ED1"/>
    <w:pPr>
      <w:spacing w:after="200" w:line="360" w:lineRule="auto"/>
      <w:contextualSpacing/>
      <w:jc w:val="both"/>
    </w:pPr>
    <w:rPr>
      <w:rFonts w:ascii="Century Gothic" w:eastAsia="Times New Roman" w:hAnsi="Century Gothic"/>
      <w:b/>
      <w:spacing w:val="-10"/>
      <w:kern w:val="28"/>
      <w:sz w:val="34"/>
      <w:szCs w:val="56"/>
      <w:lang w:val="id-ID" w:eastAsia="x-none"/>
    </w:rPr>
  </w:style>
  <w:style w:type="character" w:customStyle="1" w:styleId="TitleChar">
    <w:name w:val="Title Char"/>
    <w:link w:val="Title"/>
    <w:uiPriority w:val="10"/>
    <w:rsid w:val="00C80ED1"/>
    <w:rPr>
      <w:rFonts w:ascii="Century Gothic" w:hAnsi="Century Gothic"/>
      <w:b/>
      <w:spacing w:val="-10"/>
      <w:kern w:val="28"/>
      <w:sz w:val="34"/>
      <w:szCs w:val="56"/>
      <w:lang w:val="id-ID"/>
    </w:rPr>
  </w:style>
  <w:style w:type="character" w:styleId="CommentReference">
    <w:name w:val="annotation reference"/>
    <w:uiPriority w:val="99"/>
    <w:unhideWhenUsed/>
    <w:rsid w:val="00E2375D"/>
    <w:rPr>
      <w:sz w:val="16"/>
      <w:szCs w:val="16"/>
    </w:rPr>
  </w:style>
  <w:style w:type="paragraph" w:styleId="CommentText">
    <w:name w:val="annotation text"/>
    <w:basedOn w:val="Normal"/>
    <w:link w:val="CommentTextChar"/>
    <w:uiPriority w:val="99"/>
    <w:unhideWhenUsed/>
    <w:rsid w:val="00E2375D"/>
    <w:rPr>
      <w:sz w:val="20"/>
      <w:szCs w:val="20"/>
    </w:rPr>
  </w:style>
  <w:style w:type="character" w:customStyle="1" w:styleId="CommentTextChar">
    <w:name w:val="Comment Text Char"/>
    <w:link w:val="CommentText"/>
    <w:uiPriority w:val="99"/>
    <w:rsid w:val="00E2375D"/>
    <w:rPr>
      <w:rFonts w:eastAsia="MS Mincho"/>
      <w:lang w:val="en-US" w:eastAsia="en-US"/>
    </w:rPr>
  </w:style>
  <w:style w:type="paragraph" w:styleId="CommentSubject">
    <w:name w:val="annotation subject"/>
    <w:basedOn w:val="CommentText"/>
    <w:next w:val="CommentText"/>
    <w:link w:val="CommentSubjectChar"/>
    <w:semiHidden/>
    <w:unhideWhenUsed/>
    <w:rsid w:val="00E2375D"/>
    <w:rPr>
      <w:b/>
      <w:bCs/>
    </w:rPr>
  </w:style>
  <w:style w:type="character" w:customStyle="1" w:styleId="CommentSubjectChar">
    <w:name w:val="Comment Subject Char"/>
    <w:link w:val="CommentSubject"/>
    <w:semiHidden/>
    <w:rsid w:val="00E2375D"/>
    <w:rPr>
      <w:rFonts w:eastAsia="MS Mincho"/>
      <w:b/>
      <w:bCs/>
      <w:lang w:val="en-US" w:eastAsia="en-US"/>
    </w:rPr>
  </w:style>
  <w:style w:type="paragraph" w:customStyle="1" w:styleId="JEREauthor">
    <w:name w:val="JERE_author"/>
    <w:basedOn w:val="Normal"/>
    <w:link w:val="JEREauthorChar"/>
    <w:qFormat/>
    <w:rsid w:val="00A97E95"/>
    <w:pPr>
      <w:spacing w:line="360" w:lineRule="auto"/>
      <w:ind w:right="193"/>
    </w:pPr>
    <w:rPr>
      <w:rFonts w:ascii="Cambria" w:eastAsia="Times New Roman" w:hAnsi="Cambria"/>
      <w:b/>
      <w:lang w:val="x-none" w:eastAsia="tr-TR"/>
    </w:rPr>
  </w:style>
  <w:style w:type="character" w:customStyle="1" w:styleId="JEREauthorChar">
    <w:name w:val="JERE_author Char"/>
    <w:link w:val="JEREauthor"/>
    <w:rsid w:val="00A97E95"/>
    <w:rPr>
      <w:rFonts w:ascii="Cambria" w:hAnsi="Cambria"/>
      <w:b/>
      <w:sz w:val="24"/>
      <w:szCs w:val="24"/>
      <w:lang w:eastAsia="tr-TR"/>
    </w:rPr>
  </w:style>
  <w:style w:type="paragraph" w:styleId="NoSpacing">
    <w:name w:val="No Spacing"/>
    <w:link w:val="NoSpacingChar"/>
    <w:uiPriority w:val="1"/>
    <w:qFormat/>
    <w:rsid w:val="00A97E95"/>
    <w:rPr>
      <w:rFonts w:ascii="Calibri" w:eastAsia="Calibri" w:hAnsi="Calibri"/>
      <w:sz w:val="22"/>
      <w:szCs w:val="22"/>
      <w:lang w:val="id-ID"/>
    </w:rPr>
  </w:style>
  <w:style w:type="paragraph" w:customStyle="1" w:styleId="JEREJudul">
    <w:name w:val="JERE_Judul"/>
    <w:basedOn w:val="Normal"/>
    <w:link w:val="JEREJudulChar"/>
    <w:qFormat/>
    <w:rsid w:val="005C7330"/>
    <w:pPr>
      <w:ind w:right="190"/>
    </w:pPr>
    <w:rPr>
      <w:rFonts w:ascii="Cambria" w:eastAsia="Times New Roman" w:hAnsi="Cambria"/>
      <w:b/>
      <w:sz w:val="32"/>
      <w:szCs w:val="20"/>
      <w:lang w:val="x-none" w:eastAsia="tr-TR"/>
    </w:rPr>
  </w:style>
  <w:style w:type="character" w:customStyle="1" w:styleId="JEREJudulChar">
    <w:name w:val="JERE_Judul Char"/>
    <w:link w:val="JEREJudul"/>
    <w:rsid w:val="005C7330"/>
    <w:rPr>
      <w:rFonts w:ascii="Cambria" w:hAnsi="Cambria"/>
      <w:b/>
      <w:sz w:val="32"/>
      <w:lang w:eastAsia="tr-TR"/>
    </w:rPr>
  </w:style>
  <w:style w:type="paragraph" w:styleId="Caption">
    <w:name w:val="caption"/>
    <w:basedOn w:val="Normal"/>
    <w:next w:val="Normal"/>
    <w:unhideWhenUsed/>
    <w:qFormat/>
    <w:rsid w:val="00CF01EE"/>
    <w:pPr>
      <w:spacing w:after="200"/>
      <w:ind w:left="-5" w:right="-8" w:hanging="10"/>
      <w:jc w:val="both"/>
    </w:pPr>
    <w:rPr>
      <w:rFonts w:eastAsia="Times New Roman"/>
      <w:i/>
      <w:iCs/>
      <w:color w:val="44546A"/>
      <w:sz w:val="18"/>
      <w:szCs w:val="18"/>
      <w:lang w:val="en-AU" w:eastAsia="en-AU"/>
    </w:rPr>
  </w:style>
  <w:style w:type="table" w:customStyle="1" w:styleId="PlainTable21">
    <w:name w:val="Plain Table 21"/>
    <w:basedOn w:val="TableNormal"/>
    <w:uiPriority w:val="42"/>
    <w:rsid w:val="00CF01EE"/>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Bibliography">
    <w:name w:val="Bibliography"/>
    <w:basedOn w:val="Normal"/>
    <w:next w:val="Normal"/>
    <w:uiPriority w:val="37"/>
    <w:unhideWhenUsed/>
    <w:rsid w:val="00CF01EE"/>
    <w:pPr>
      <w:spacing w:before="160" w:line="260" w:lineRule="atLeast"/>
      <w:jc w:val="both"/>
    </w:pPr>
    <w:rPr>
      <w:rFonts w:eastAsia="Times New Roman"/>
      <w:szCs w:val="20"/>
      <w:lang w:val="en-AU" w:eastAsia="tr-TR"/>
    </w:rPr>
  </w:style>
  <w:style w:type="character" w:customStyle="1" w:styleId="BodyTextIndent3Char">
    <w:name w:val="Body Text Indent 3 Char"/>
    <w:link w:val="BodyTextIndent3"/>
    <w:rsid w:val="000410E8"/>
    <w:rPr>
      <w:rFonts w:eastAsia="MS Mincho"/>
      <w:sz w:val="24"/>
      <w:szCs w:val="24"/>
    </w:rPr>
  </w:style>
  <w:style w:type="paragraph" w:styleId="BodyText2">
    <w:name w:val="Body Text 2"/>
    <w:basedOn w:val="Normal"/>
    <w:link w:val="BodyText2Char"/>
    <w:uiPriority w:val="99"/>
    <w:semiHidden/>
    <w:unhideWhenUsed/>
    <w:rsid w:val="00D41FDD"/>
    <w:pPr>
      <w:spacing w:after="120" w:line="480" w:lineRule="auto"/>
    </w:pPr>
    <w:rPr>
      <w:lang w:val="x-none" w:eastAsia="x-none"/>
    </w:rPr>
  </w:style>
  <w:style w:type="character" w:customStyle="1" w:styleId="BodyText2Char">
    <w:name w:val="Body Text 2 Char"/>
    <w:link w:val="BodyText2"/>
    <w:uiPriority w:val="99"/>
    <w:semiHidden/>
    <w:rsid w:val="00D41FDD"/>
    <w:rPr>
      <w:rFonts w:eastAsia="MS Mincho"/>
      <w:sz w:val="24"/>
      <w:szCs w:val="24"/>
    </w:rPr>
  </w:style>
  <w:style w:type="paragraph" w:customStyle="1" w:styleId="Wahanaauthor">
    <w:name w:val="Wahana_author"/>
    <w:basedOn w:val="Normal"/>
    <w:link w:val="WahanaauthorChar"/>
    <w:qFormat/>
    <w:rsid w:val="00D23711"/>
    <w:pPr>
      <w:spacing w:line="360" w:lineRule="auto"/>
      <w:ind w:right="193"/>
    </w:pPr>
    <w:rPr>
      <w:rFonts w:ascii="Cambria" w:eastAsia="Times New Roman" w:hAnsi="Cambria"/>
      <w:b/>
      <w:lang w:val="x-none" w:eastAsia="tr-TR"/>
    </w:rPr>
  </w:style>
  <w:style w:type="character" w:customStyle="1" w:styleId="WahanaauthorChar">
    <w:name w:val="Wahana_author Char"/>
    <w:link w:val="Wahanaauthor"/>
    <w:rsid w:val="00D23711"/>
    <w:rPr>
      <w:rFonts w:ascii="Cambria" w:hAnsi="Cambria"/>
      <w:b/>
      <w:sz w:val="24"/>
      <w:szCs w:val="24"/>
      <w:lang w:eastAsia="tr-TR"/>
    </w:rPr>
  </w:style>
  <w:style w:type="character" w:styleId="UnresolvedMention">
    <w:name w:val="Unresolved Mention"/>
    <w:uiPriority w:val="99"/>
    <w:semiHidden/>
    <w:unhideWhenUsed/>
    <w:rsid w:val="00E528F2"/>
    <w:rPr>
      <w:color w:val="605E5C"/>
      <w:shd w:val="clear" w:color="auto" w:fill="E1DFDD"/>
    </w:rPr>
  </w:style>
  <w:style w:type="table" w:styleId="PlainTable2">
    <w:name w:val="Plain Table 2"/>
    <w:basedOn w:val="TableNormal"/>
    <w:uiPriority w:val="42"/>
    <w:rsid w:val="00BD4929"/>
    <w:pPr>
      <w:widowControl w:val="0"/>
      <w:autoSpaceDE w:val="0"/>
      <w:autoSpaceDN w:val="0"/>
    </w:pPr>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5">
    <w:name w:val="Plain Table 5"/>
    <w:basedOn w:val="TableNormal"/>
    <w:uiPriority w:val="45"/>
    <w:rsid w:val="00542003"/>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
    <w:name w:val="tabel"/>
    <w:basedOn w:val="Normal"/>
    <w:link w:val="tabelChar"/>
    <w:qFormat/>
    <w:rsid w:val="00D94123"/>
    <w:pPr>
      <w:spacing w:line="360" w:lineRule="auto"/>
      <w:ind w:left="360" w:firstLine="540"/>
      <w:jc w:val="center"/>
    </w:pPr>
    <w:rPr>
      <w:rFonts w:eastAsia="Calibri"/>
    </w:rPr>
  </w:style>
  <w:style w:type="character" w:customStyle="1" w:styleId="tabelChar">
    <w:name w:val="tabel Char"/>
    <w:link w:val="tabel"/>
    <w:rsid w:val="00D94123"/>
    <w:rPr>
      <w:rFonts w:eastAsia="Calibri"/>
      <w:sz w:val="24"/>
      <w:szCs w:val="24"/>
    </w:rPr>
  </w:style>
  <w:style w:type="paragraph" w:customStyle="1" w:styleId="judultabel">
    <w:name w:val="judul tabel"/>
    <w:basedOn w:val="Normal"/>
    <w:link w:val="judultabelKAR"/>
    <w:qFormat/>
    <w:rsid w:val="00D94123"/>
    <w:pPr>
      <w:tabs>
        <w:tab w:val="left" w:pos="1245"/>
      </w:tabs>
      <w:jc w:val="center"/>
    </w:pPr>
    <w:rPr>
      <w:rFonts w:eastAsia="Calibri"/>
      <w:bCs/>
      <w:noProof/>
    </w:rPr>
  </w:style>
  <w:style w:type="character" w:customStyle="1" w:styleId="judultabelKAR">
    <w:name w:val="judul tabel KAR"/>
    <w:link w:val="judultabel"/>
    <w:rsid w:val="00D94123"/>
    <w:rPr>
      <w:rFonts w:eastAsia="Calibri"/>
      <w:bCs/>
      <w:noProof/>
      <w:sz w:val="24"/>
      <w:szCs w:val="24"/>
    </w:rPr>
  </w:style>
  <w:style w:type="paragraph" w:customStyle="1" w:styleId="bab">
    <w:name w:val="bab"/>
    <w:basedOn w:val="Heading1"/>
    <w:link w:val="babChar"/>
    <w:qFormat/>
    <w:rsid w:val="000B7E44"/>
    <w:pPr>
      <w:keepLines w:val="0"/>
      <w:numPr>
        <w:numId w:val="2"/>
      </w:numPr>
      <w:spacing w:before="240" w:after="240" w:line="240" w:lineRule="auto"/>
      <w:ind w:left="284" w:hanging="284"/>
      <w:jc w:val="left"/>
    </w:pPr>
    <w:rPr>
      <w:rFonts w:ascii="Cambria" w:hAnsi="Cambria" w:cs="Arial"/>
      <w:bCs/>
      <w:color w:val="auto"/>
      <w:kern w:val="32"/>
      <w:sz w:val="22"/>
      <w:szCs w:val="22"/>
      <w:lang w:val="en-US" w:eastAsia="ja-JP"/>
    </w:rPr>
  </w:style>
  <w:style w:type="character" w:customStyle="1" w:styleId="babChar">
    <w:name w:val="bab Char"/>
    <w:link w:val="bab"/>
    <w:rsid w:val="000B7E44"/>
    <w:rPr>
      <w:rFonts w:ascii="Cambria" w:hAnsi="Cambria" w:cs="Arial"/>
      <w:b/>
      <w:bCs/>
      <w:kern w:val="32"/>
      <w:sz w:val="22"/>
      <w:szCs w:val="22"/>
      <w:lang w:eastAsia="ja-JP"/>
    </w:rPr>
  </w:style>
  <w:style w:type="paragraph" w:customStyle="1" w:styleId="tabletext">
    <w:name w:val="tabletext"/>
    <w:basedOn w:val="Normal"/>
    <w:rsid w:val="000066B1"/>
    <w:pPr>
      <w:spacing w:line="220" w:lineRule="atLeast"/>
      <w:jc w:val="both"/>
    </w:pPr>
    <w:rPr>
      <w:rFonts w:eastAsia="Times New Roman"/>
      <w:sz w:val="20"/>
      <w:szCs w:val="20"/>
      <w:lang w:val="en-AU" w:eastAsia="tr-TR"/>
    </w:rPr>
  </w:style>
  <w:style w:type="paragraph" w:customStyle="1" w:styleId="0">
    <w:name w:val="0"/>
    <w:basedOn w:val="BodyTextIndent"/>
    <w:link w:val="0Char"/>
    <w:rsid w:val="000D329D"/>
    <w:pPr>
      <w:spacing w:after="0" w:line="480" w:lineRule="auto"/>
      <w:ind w:left="0" w:firstLine="720"/>
      <w:jc w:val="both"/>
    </w:pPr>
    <w:rPr>
      <w:rFonts w:ascii="Arial" w:eastAsia="Times New Roman" w:hAnsi="Arial" w:cs="Arial"/>
      <w:lang w:val="en-US" w:eastAsia="en-US"/>
    </w:rPr>
  </w:style>
  <w:style w:type="character" w:customStyle="1" w:styleId="0Char">
    <w:name w:val="0 Char"/>
    <w:link w:val="0"/>
    <w:rsid w:val="000D329D"/>
    <w:rPr>
      <w:rFonts w:ascii="Arial" w:hAnsi="Arial" w:cs="Arial"/>
      <w:sz w:val="24"/>
      <w:szCs w:val="24"/>
      <w:lang w:val="en-US" w:eastAsia="en-US"/>
    </w:rPr>
  </w:style>
  <w:style w:type="paragraph" w:customStyle="1" w:styleId="1">
    <w:name w:val="1"/>
    <w:basedOn w:val="Normal"/>
    <w:link w:val="1Char"/>
    <w:rsid w:val="000D329D"/>
    <w:pPr>
      <w:spacing w:line="480" w:lineRule="auto"/>
      <w:ind w:left="852" w:firstLine="566"/>
      <w:jc w:val="both"/>
    </w:pPr>
    <w:rPr>
      <w:rFonts w:ascii="Arial" w:eastAsia="Times New Roman" w:hAnsi="Arial" w:cs="Arial"/>
      <w:lang w:val="id-ID"/>
    </w:rPr>
  </w:style>
  <w:style w:type="character" w:customStyle="1" w:styleId="1Char">
    <w:name w:val="1 Char"/>
    <w:link w:val="1"/>
    <w:rsid w:val="000D329D"/>
    <w:rPr>
      <w:rFonts w:ascii="Arial" w:hAnsi="Arial" w:cs="Arial"/>
      <w:sz w:val="24"/>
      <w:szCs w:val="24"/>
      <w:lang w:val="id-ID" w:eastAsia="en-US"/>
    </w:rPr>
  </w:style>
  <w:style w:type="character" w:customStyle="1" w:styleId="apple-style-span">
    <w:name w:val="apple-style-span"/>
    <w:rsid w:val="000D329D"/>
  </w:style>
  <w:style w:type="character" w:customStyle="1" w:styleId="NoSpacingChar">
    <w:name w:val="No Spacing Char"/>
    <w:link w:val="NoSpacing"/>
    <w:uiPriority w:val="1"/>
    <w:locked/>
    <w:rsid w:val="002D6010"/>
    <w:rPr>
      <w:rFonts w:ascii="Calibri" w:eastAsia="Calibri" w:hAnsi="Calibri"/>
      <w:sz w:val="22"/>
      <w:szCs w:val="22"/>
      <w:lang w:val="id-ID" w:eastAsia="en-US"/>
    </w:rPr>
  </w:style>
  <w:style w:type="character" w:customStyle="1" w:styleId="jlqj4b">
    <w:name w:val="jlqj4b"/>
    <w:rsid w:val="00BA777A"/>
  </w:style>
  <w:style w:type="character" w:customStyle="1" w:styleId="FontStyle16">
    <w:name w:val="Font Style16"/>
    <w:uiPriority w:val="99"/>
    <w:rsid w:val="00EE1587"/>
    <w:rPr>
      <w:rFonts w:ascii="Times New Roman" w:hAnsi="Times New Roman" w:cs="Times New Roman"/>
      <w:i/>
      <w:iCs/>
      <w:sz w:val="22"/>
      <w:szCs w:val="22"/>
    </w:rPr>
  </w:style>
  <w:style w:type="character" w:customStyle="1" w:styleId="FontStyle15">
    <w:name w:val="Font Style15"/>
    <w:uiPriority w:val="99"/>
    <w:rsid w:val="00EE1587"/>
    <w:rPr>
      <w:rFonts w:ascii="Times New Roman" w:hAnsi="Times New Roman" w:cs="Times New Roman"/>
      <w:sz w:val="20"/>
      <w:szCs w:val="20"/>
    </w:rPr>
  </w:style>
  <w:style w:type="character" w:customStyle="1" w:styleId="y2iqfc">
    <w:name w:val="y2iqfc"/>
    <w:rsid w:val="001F0BF2"/>
  </w:style>
  <w:style w:type="table" w:customStyle="1" w:styleId="TableGrid1">
    <w:name w:val="Table Grid1"/>
    <w:basedOn w:val="TableNormal"/>
    <w:next w:val="TableGrid"/>
    <w:uiPriority w:val="59"/>
    <w:rsid w:val="005833CC"/>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B41F00"/>
    <w:pPr>
      <w:widowControl w:val="0"/>
      <w:autoSpaceDE w:val="0"/>
      <w:autoSpaceDN w:val="0"/>
      <w:spacing w:line="275" w:lineRule="exact"/>
      <w:ind w:left="107"/>
    </w:pPr>
    <w:rPr>
      <w:rFonts w:eastAsia="Times New Roman"/>
      <w:sz w:val="22"/>
      <w:szCs w:val="22"/>
      <w:lang w:val="id-ID"/>
    </w:rPr>
  </w:style>
  <w:style w:type="character" w:customStyle="1" w:styleId="lrzxr">
    <w:name w:val="lrzxr"/>
    <w:rsid w:val="0031102F"/>
  </w:style>
  <w:style w:type="character" w:customStyle="1" w:styleId="markedcontent">
    <w:name w:val="markedcontent"/>
    <w:rsid w:val="0031102F"/>
  </w:style>
  <w:style w:type="table" w:customStyle="1" w:styleId="TableGrid2">
    <w:name w:val="Table Grid2"/>
    <w:basedOn w:val="TableNormal"/>
    <w:next w:val="TableGrid"/>
    <w:rsid w:val="003A74D3"/>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951D0"/>
    <w:rPr>
      <w:rFonts w:eastAsia="SimSun"/>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1">
    <w:name w:val="Plain Table 211"/>
    <w:basedOn w:val="TableNormal"/>
    <w:uiPriority w:val="42"/>
    <w:rsid w:val="00786037"/>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next w:val="PlainTable2"/>
    <w:uiPriority w:val="42"/>
    <w:rsid w:val="00786037"/>
    <w:pPr>
      <w:widowControl w:val="0"/>
      <w:autoSpaceDE w:val="0"/>
      <w:autoSpaceDN w:val="0"/>
    </w:pPr>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1">
    <w:name w:val="Plain Table 51"/>
    <w:basedOn w:val="TableNormal"/>
    <w:next w:val="PlainTable5"/>
    <w:uiPriority w:val="45"/>
    <w:rsid w:val="00786037"/>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fontstyle01">
    <w:name w:val="fontstyle01"/>
    <w:rsid w:val="00414795"/>
    <w:rPr>
      <w:rFonts w:ascii="Times New Roman" w:hAnsi="Times New Roman" w:cs="Times New Roman"/>
      <w:color w:val="000000"/>
      <w:sz w:val="24"/>
      <w:szCs w:val="24"/>
    </w:rPr>
  </w:style>
  <w:style w:type="paragraph" w:customStyle="1" w:styleId="Isi">
    <w:name w:val="Isi"/>
    <w:basedOn w:val="Normal"/>
    <w:link w:val="IsiChar"/>
    <w:qFormat/>
    <w:rsid w:val="00E5598A"/>
    <w:pPr>
      <w:spacing w:after="160" w:line="259" w:lineRule="auto"/>
      <w:ind w:firstLine="284"/>
      <w:jc w:val="both"/>
    </w:pPr>
    <w:rPr>
      <w:rFonts w:eastAsia="Malgun Gothic" w:cs="Arial"/>
      <w:sz w:val="20"/>
      <w:szCs w:val="22"/>
      <w:lang w:eastAsia="ko-KR"/>
    </w:rPr>
  </w:style>
  <w:style w:type="character" w:customStyle="1" w:styleId="IsiChar">
    <w:name w:val="Isi Char"/>
    <w:link w:val="Isi"/>
    <w:rsid w:val="00E5598A"/>
    <w:rPr>
      <w:rFonts w:eastAsia="Malgun Gothic" w:cs="Arial"/>
      <w:szCs w:val="22"/>
      <w:lang w:eastAsia="ko-KR"/>
    </w:rPr>
  </w:style>
  <w:style w:type="character" w:customStyle="1" w:styleId="tlid-translation">
    <w:name w:val="tlid-translation"/>
    <w:basedOn w:val="DefaultParagraphFont"/>
    <w:rsid w:val="00824C3A"/>
  </w:style>
  <w:style w:type="paragraph" w:customStyle="1" w:styleId="IJASEITParagraph">
    <w:name w:val="IJASEIT Paragraph"/>
    <w:basedOn w:val="Normal"/>
    <w:link w:val="IJASEITParagraphChar"/>
    <w:rsid w:val="00BF1AC2"/>
    <w:pPr>
      <w:adjustRightInd w:val="0"/>
      <w:snapToGrid w:val="0"/>
      <w:ind w:firstLine="216"/>
      <w:jc w:val="both"/>
    </w:pPr>
    <w:rPr>
      <w:rFonts w:eastAsia="SimSun"/>
      <w:sz w:val="20"/>
      <w:lang w:val="en-AU" w:eastAsia="zh-CN"/>
    </w:rPr>
  </w:style>
  <w:style w:type="character" w:customStyle="1" w:styleId="IJASEITParagraphChar">
    <w:name w:val="IJASEIT Paragraph Char"/>
    <w:link w:val="IJASEITParagraph"/>
    <w:rsid w:val="00BF1AC2"/>
    <w:rPr>
      <w:rFonts w:eastAsia="SimSun"/>
      <w:szCs w:val="24"/>
      <w:lang w:val="en-AU" w:eastAsia="zh-CN"/>
    </w:rPr>
  </w:style>
  <w:style w:type="character" w:customStyle="1" w:styleId="viiyi">
    <w:name w:val="viiyi"/>
    <w:rsid w:val="00A40736"/>
  </w:style>
  <w:style w:type="table" w:customStyle="1" w:styleId="PlainTable212">
    <w:name w:val="Plain Table 212"/>
    <w:basedOn w:val="TableNormal"/>
    <w:uiPriority w:val="42"/>
    <w:rsid w:val="00987DD9"/>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
    <w:name w:val="Plain Table 23"/>
    <w:basedOn w:val="TableNormal"/>
    <w:next w:val="PlainTable2"/>
    <w:uiPriority w:val="42"/>
    <w:rsid w:val="00987DD9"/>
    <w:pPr>
      <w:widowControl w:val="0"/>
      <w:autoSpaceDE w:val="0"/>
      <w:autoSpaceDN w:val="0"/>
    </w:pPr>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2">
    <w:name w:val="Plain Table 52"/>
    <w:basedOn w:val="TableNormal"/>
    <w:next w:val="PlainTable5"/>
    <w:uiPriority w:val="45"/>
    <w:rsid w:val="00987DD9"/>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Web">
    <w:name w:val="Normal (Web)"/>
    <w:basedOn w:val="Normal"/>
    <w:uiPriority w:val="99"/>
    <w:unhideWhenUsed/>
    <w:rsid w:val="00987DD9"/>
    <w:pPr>
      <w:spacing w:before="100" w:beforeAutospacing="1" w:after="100" w:afterAutospacing="1"/>
    </w:pPr>
    <w:rPr>
      <w:rFonts w:eastAsia="Times New Roman"/>
      <w:lang w:val="en-ID" w:eastAsia="en-ID"/>
    </w:rPr>
  </w:style>
  <w:style w:type="character" w:styleId="Strong">
    <w:name w:val="Strong"/>
    <w:uiPriority w:val="22"/>
    <w:qFormat/>
    <w:rsid w:val="00CF007B"/>
    <w:rPr>
      <w:rFonts w:cs="Times New Roman"/>
      <w:b/>
      <w:bCs/>
    </w:rPr>
  </w:style>
  <w:style w:type="table" w:customStyle="1" w:styleId="TableGrid4">
    <w:name w:val="Table Grid4"/>
    <w:basedOn w:val="TableNormal"/>
    <w:next w:val="TableGrid"/>
    <w:uiPriority w:val="59"/>
    <w:rsid w:val="00C7517C"/>
    <w:rPr>
      <w:rFonts w:ascii="Cambria" w:hAnsi="Cambria"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59"/>
    <w:rsid w:val="00C7517C"/>
    <w:rPr>
      <w:rFonts w:ascii="Cambria" w:hAnsi="Cambria"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basedOn w:val="DefaultParagraphFont"/>
    <w:link w:val="Heading3"/>
    <w:semiHidden/>
    <w:rsid w:val="007A5C2E"/>
    <w:rPr>
      <w:rFonts w:ascii="Calibri Light" w:hAnsi="Calibri Light"/>
      <w:b/>
      <w:bCs/>
      <w:sz w:val="26"/>
      <w:szCs w:val="26"/>
    </w:rPr>
  </w:style>
  <w:style w:type="table" w:customStyle="1" w:styleId="PlainTable213">
    <w:name w:val="Plain Table 213"/>
    <w:basedOn w:val="TableNormal"/>
    <w:uiPriority w:val="42"/>
    <w:rsid w:val="007A5C2E"/>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4">
    <w:name w:val="Plain Table 24"/>
    <w:basedOn w:val="TableNormal"/>
    <w:next w:val="PlainTable2"/>
    <w:uiPriority w:val="42"/>
    <w:rsid w:val="007A5C2E"/>
    <w:pPr>
      <w:widowControl w:val="0"/>
      <w:autoSpaceDE w:val="0"/>
      <w:autoSpaceDN w:val="0"/>
    </w:pPr>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3">
    <w:name w:val="Plain Table 53"/>
    <w:basedOn w:val="TableNormal"/>
    <w:next w:val="PlainTable5"/>
    <w:uiPriority w:val="45"/>
    <w:rsid w:val="007A5C2E"/>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6">
    <w:name w:val="Table Grid6"/>
    <w:basedOn w:val="TableNormal"/>
    <w:next w:val="TableGrid"/>
    <w:uiPriority w:val="39"/>
    <w:qFormat/>
    <w:rsid w:val="000B7DCD"/>
    <w:rPr>
      <w:rFonts w:ascii="Calibri" w:eastAsia="Calibri" w:hAnsi="Calibri"/>
      <w:sz w:val="22"/>
      <w:szCs w:val="22"/>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39"/>
    <w:qFormat/>
    <w:rsid w:val="000B7DCD"/>
    <w:rPr>
      <w:rFonts w:ascii="Calibri" w:eastAsia="Calibri" w:hAnsi="Calibri"/>
      <w:sz w:val="22"/>
      <w:szCs w:val="22"/>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wtze">
    <w:name w:val="hwtze"/>
    <w:basedOn w:val="DefaultParagraphFont"/>
    <w:rsid w:val="00A751AB"/>
  </w:style>
  <w:style w:type="character" w:customStyle="1" w:styleId="rynqvb">
    <w:name w:val="rynqvb"/>
    <w:basedOn w:val="DefaultParagraphFont"/>
    <w:rsid w:val="00A751AB"/>
  </w:style>
  <w:style w:type="character" w:styleId="PlaceholderText">
    <w:name w:val="Placeholder Text"/>
    <w:basedOn w:val="DefaultParagraphFont"/>
    <w:uiPriority w:val="99"/>
    <w:semiHidden/>
    <w:rsid w:val="0001647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24586">
      <w:bodyDiv w:val="1"/>
      <w:marLeft w:val="0"/>
      <w:marRight w:val="0"/>
      <w:marTop w:val="0"/>
      <w:marBottom w:val="0"/>
      <w:divBdr>
        <w:top w:val="none" w:sz="0" w:space="0" w:color="auto"/>
        <w:left w:val="none" w:sz="0" w:space="0" w:color="auto"/>
        <w:bottom w:val="none" w:sz="0" w:space="0" w:color="auto"/>
        <w:right w:val="none" w:sz="0" w:space="0" w:color="auto"/>
      </w:divBdr>
    </w:div>
    <w:div w:id="72430579">
      <w:bodyDiv w:val="1"/>
      <w:marLeft w:val="0"/>
      <w:marRight w:val="0"/>
      <w:marTop w:val="0"/>
      <w:marBottom w:val="0"/>
      <w:divBdr>
        <w:top w:val="none" w:sz="0" w:space="0" w:color="auto"/>
        <w:left w:val="none" w:sz="0" w:space="0" w:color="auto"/>
        <w:bottom w:val="none" w:sz="0" w:space="0" w:color="auto"/>
        <w:right w:val="none" w:sz="0" w:space="0" w:color="auto"/>
      </w:divBdr>
    </w:div>
    <w:div w:id="85275186">
      <w:bodyDiv w:val="1"/>
      <w:marLeft w:val="0"/>
      <w:marRight w:val="0"/>
      <w:marTop w:val="0"/>
      <w:marBottom w:val="0"/>
      <w:divBdr>
        <w:top w:val="none" w:sz="0" w:space="0" w:color="auto"/>
        <w:left w:val="none" w:sz="0" w:space="0" w:color="auto"/>
        <w:bottom w:val="none" w:sz="0" w:space="0" w:color="auto"/>
        <w:right w:val="none" w:sz="0" w:space="0" w:color="auto"/>
      </w:divBdr>
    </w:div>
    <w:div w:id="127360526">
      <w:bodyDiv w:val="1"/>
      <w:marLeft w:val="0"/>
      <w:marRight w:val="0"/>
      <w:marTop w:val="0"/>
      <w:marBottom w:val="0"/>
      <w:divBdr>
        <w:top w:val="none" w:sz="0" w:space="0" w:color="auto"/>
        <w:left w:val="none" w:sz="0" w:space="0" w:color="auto"/>
        <w:bottom w:val="none" w:sz="0" w:space="0" w:color="auto"/>
        <w:right w:val="none" w:sz="0" w:space="0" w:color="auto"/>
      </w:divBdr>
    </w:div>
    <w:div w:id="161507589">
      <w:bodyDiv w:val="1"/>
      <w:marLeft w:val="0"/>
      <w:marRight w:val="0"/>
      <w:marTop w:val="0"/>
      <w:marBottom w:val="0"/>
      <w:divBdr>
        <w:top w:val="none" w:sz="0" w:space="0" w:color="auto"/>
        <w:left w:val="none" w:sz="0" w:space="0" w:color="auto"/>
        <w:bottom w:val="none" w:sz="0" w:space="0" w:color="auto"/>
        <w:right w:val="none" w:sz="0" w:space="0" w:color="auto"/>
      </w:divBdr>
    </w:div>
    <w:div w:id="260990684">
      <w:bodyDiv w:val="1"/>
      <w:marLeft w:val="0"/>
      <w:marRight w:val="0"/>
      <w:marTop w:val="0"/>
      <w:marBottom w:val="0"/>
      <w:divBdr>
        <w:top w:val="none" w:sz="0" w:space="0" w:color="auto"/>
        <w:left w:val="none" w:sz="0" w:space="0" w:color="auto"/>
        <w:bottom w:val="none" w:sz="0" w:space="0" w:color="auto"/>
        <w:right w:val="none" w:sz="0" w:space="0" w:color="auto"/>
      </w:divBdr>
    </w:div>
    <w:div w:id="292100590">
      <w:bodyDiv w:val="1"/>
      <w:marLeft w:val="0"/>
      <w:marRight w:val="0"/>
      <w:marTop w:val="0"/>
      <w:marBottom w:val="0"/>
      <w:divBdr>
        <w:top w:val="none" w:sz="0" w:space="0" w:color="auto"/>
        <w:left w:val="none" w:sz="0" w:space="0" w:color="auto"/>
        <w:bottom w:val="none" w:sz="0" w:space="0" w:color="auto"/>
        <w:right w:val="none" w:sz="0" w:space="0" w:color="auto"/>
      </w:divBdr>
    </w:div>
    <w:div w:id="322048167">
      <w:bodyDiv w:val="1"/>
      <w:marLeft w:val="0"/>
      <w:marRight w:val="0"/>
      <w:marTop w:val="0"/>
      <w:marBottom w:val="0"/>
      <w:divBdr>
        <w:top w:val="none" w:sz="0" w:space="0" w:color="auto"/>
        <w:left w:val="none" w:sz="0" w:space="0" w:color="auto"/>
        <w:bottom w:val="none" w:sz="0" w:space="0" w:color="auto"/>
        <w:right w:val="none" w:sz="0" w:space="0" w:color="auto"/>
      </w:divBdr>
      <w:divsChild>
        <w:div w:id="1615599538">
          <w:marLeft w:val="0"/>
          <w:marRight w:val="0"/>
          <w:marTop w:val="0"/>
          <w:marBottom w:val="0"/>
          <w:divBdr>
            <w:top w:val="none" w:sz="0" w:space="0" w:color="auto"/>
            <w:left w:val="none" w:sz="0" w:space="0" w:color="auto"/>
            <w:bottom w:val="none" w:sz="0" w:space="0" w:color="auto"/>
            <w:right w:val="none" w:sz="0" w:space="0" w:color="auto"/>
          </w:divBdr>
          <w:divsChild>
            <w:div w:id="1647011019">
              <w:marLeft w:val="0"/>
              <w:marRight w:val="0"/>
              <w:marTop w:val="0"/>
              <w:marBottom w:val="0"/>
              <w:divBdr>
                <w:top w:val="none" w:sz="0" w:space="0" w:color="auto"/>
                <w:left w:val="none" w:sz="0" w:space="0" w:color="auto"/>
                <w:bottom w:val="none" w:sz="0" w:space="0" w:color="auto"/>
                <w:right w:val="none" w:sz="0" w:space="0" w:color="auto"/>
              </w:divBdr>
              <w:divsChild>
                <w:div w:id="160584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212532">
      <w:bodyDiv w:val="1"/>
      <w:marLeft w:val="0"/>
      <w:marRight w:val="0"/>
      <w:marTop w:val="0"/>
      <w:marBottom w:val="0"/>
      <w:divBdr>
        <w:top w:val="none" w:sz="0" w:space="0" w:color="auto"/>
        <w:left w:val="none" w:sz="0" w:space="0" w:color="auto"/>
        <w:bottom w:val="none" w:sz="0" w:space="0" w:color="auto"/>
        <w:right w:val="none" w:sz="0" w:space="0" w:color="auto"/>
      </w:divBdr>
    </w:div>
    <w:div w:id="338317460">
      <w:bodyDiv w:val="1"/>
      <w:marLeft w:val="0"/>
      <w:marRight w:val="0"/>
      <w:marTop w:val="0"/>
      <w:marBottom w:val="0"/>
      <w:divBdr>
        <w:top w:val="none" w:sz="0" w:space="0" w:color="auto"/>
        <w:left w:val="none" w:sz="0" w:space="0" w:color="auto"/>
        <w:bottom w:val="none" w:sz="0" w:space="0" w:color="auto"/>
        <w:right w:val="none" w:sz="0" w:space="0" w:color="auto"/>
      </w:divBdr>
    </w:div>
    <w:div w:id="346834360">
      <w:bodyDiv w:val="1"/>
      <w:marLeft w:val="0"/>
      <w:marRight w:val="0"/>
      <w:marTop w:val="0"/>
      <w:marBottom w:val="0"/>
      <w:divBdr>
        <w:top w:val="none" w:sz="0" w:space="0" w:color="auto"/>
        <w:left w:val="none" w:sz="0" w:space="0" w:color="auto"/>
        <w:bottom w:val="none" w:sz="0" w:space="0" w:color="auto"/>
        <w:right w:val="none" w:sz="0" w:space="0" w:color="auto"/>
      </w:divBdr>
    </w:div>
    <w:div w:id="417989042">
      <w:bodyDiv w:val="1"/>
      <w:marLeft w:val="0"/>
      <w:marRight w:val="0"/>
      <w:marTop w:val="0"/>
      <w:marBottom w:val="0"/>
      <w:divBdr>
        <w:top w:val="none" w:sz="0" w:space="0" w:color="auto"/>
        <w:left w:val="none" w:sz="0" w:space="0" w:color="auto"/>
        <w:bottom w:val="none" w:sz="0" w:space="0" w:color="auto"/>
        <w:right w:val="none" w:sz="0" w:space="0" w:color="auto"/>
      </w:divBdr>
    </w:div>
    <w:div w:id="544803326">
      <w:bodyDiv w:val="1"/>
      <w:marLeft w:val="0"/>
      <w:marRight w:val="0"/>
      <w:marTop w:val="0"/>
      <w:marBottom w:val="0"/>
      <w:divBdr>
        <w:top w:val="none" w:sz="0" w:space="0" w:color="auto"/>
        <w:left w:val="none" w:sz="0" w:space="0" w:color="auto"/>
        <w:bottom w:val="none" w:sz="0" w:space="0" w:color="auto"/>
        <w:right w:val="none" w:sz="0" w:space="0" w:color="auto"/>
      </w:divBdr>
    </w:div>
    <w:div w:id="555775186">
      <w:bodyDiv w:val="1"/>
      <w:marLeft w:val="0"/>
      <w:marRight w:val="0"/>
      <w:marTop w:val="0"/>
      <w:marBottom w:val="0"/>
      <w:divBdr>
        <w:top w:val="none" w:sz="0" w:space="0" w:color="auto"/>
        <w:left w:val="none" w:sz="0" w:space="0" w:color="auto"/>
        <w:bottom w:val="none" w:sz="0" w:space="0" w:color="auto"/>
        <w:right w:val="none" w:sz="0" w:space="0" w:color="auto"/>
      </w:divBdr>
    </w:div>
    <w:div w:id="602347814">
      <w:bodyDiv w:val="1"/>
      <w:marLeft w:val="0"/>
      <w:marRight w:val="0"/>
      <w:marTop w:val="0"/>
      <w:marBottom w:val="0"/>
      <w:divBdr>
        <w:top w:val="none" w:sz="0" w:space="0" w:color="auto"/>
        <w:left w:val="none" w:sz="0" w:space="0" w:color="auto"/>
        <w:bottom w:val="none" w:sz="0" w:space="0" w:color="auto"/>
        <w:right w:val="none" w:sz="0" w:space="0" w:color="auto"/>
      </w:divBdr>
    </w:div>
    <w:div w:id="615407871">
      <w:bodyDiv w:val="1"/>
      <w:marLeft w:val="0"/>
      <w:marRight w:val="0"/>
      <w:marTop w:val="0"/>
      <w:marBottom w:val="0"/>
      <w:divBdr>
        <w:top w:val="none" w:sz="0" w:space="0" w:color="auto"/>
        <w:left w:val="none" w:sz="0" w:space="0" w:color="auto"/>
        <w:bottom w:val="none" w:sz="0" w:space="0" w:color="auto"/>
        <w:right w:val="none" w:sz="0" w:space="0" w:color="auto"/>
      </w:divBdr>
    </w:div>
    <w:div w:id="619653966">
      <w:bodyDiv w:val="1"/>
      <w:marLeft w:val="0"/>
      <w:marRight w:val="0"/>
      <w:marTop w:val="0"/>
      <w:marBottom w:val="0"/>
      <w:divBdr>
        <w:top w:val="none" w:sz="0" w:space="0" w:color="auto"/>
        <w:left w:val="none" w:sz="0" w:space="0" w:color="auto"/>
        <w:bottom w:val="none" w:sz="0" w:space="0" w:color="auto"/>
        <w:right w:val="none" w:sz="0" w:space="0" w:color="auto"/>
      </w:divBdr>
      <w:divsChild>
        <w:div w:id="2137947776">
          <w:marLeft w:val="480"/>
          <w:marRight w:val="0"/>
          <w:marTop w:val="0"/>
          <w:marBottom w:val="0"/>
          <w:divBdr>
            <w:top w:val="none" w:sz="0" w:space="0" w:color="auto"/>
            <w:left w:val="none" w:sz="0" w:space="0" w:color="auto"/>
            <w:bottom w:val="none" w:sz="0" w:space="0" w:color="auto"/>
            <w:right w:val="none" w:sz="0" w:space="0" w:color="auto"/>
          </w:divBdr>
        </w:div>
        <w:div w:id="398867370">
          <w:marLeft w:val="480"/>
          <w:marRight w:val="0"/>
          <w:marTop w:val="0"/>
          <w:marBottom w:val="0"/>
          <w:divBdr>
            <w:top w:val="none" w:sz="0" w:space="0" w:color="auto"/>
            <w:left w:val="none" w:sz="0" w:space="0" w:color="auto"/>
            <w:bottom w:val="none" w:sz="0" w:space="0" w:color="auto"/>
            <w:right w:val="none" w:sz="0" w:space="0" w:color="auto"/>
          </w:divBdr>
        </w:div>
        <w:div w:id="1026054679">
          <w:marLeft w:val="480"/>
          <w:marRight w:val="0"/>
          <w:marTop w:val="0"/>
          <w:marBottom w:val="0"/>
          <w:divBdr>
            <w:top w:val="none" w:sz="0" w:space="0" w:color="auto"/>
            <w:left w:val="none" w:sz="0" w:space="0" w:color="auto"/>
            <w:bottom w:val="none" w:sz="0" w:space="0" w:color="auto"/>
            <w:right w:val="none" w:sz="0" w:space="0" w:color="auto"/>
          </w:divBdr>
        </w:div>
        <w:div w:id="1812284594">
          <w:marLeft w:val="480"/>
          <w:marRight w:val="0"/>
          <w:marTop w:val="0"/>
          <w:marBottom w:val="0"/>
          <w:divBdr>
            <w:top w:val="none" w:sz="0" w:space="0" w:color="auto"/>
            <w:left w:val="none" w:sz="0" w:space="0" w:color="auto"/>
            <w:bottom w:val="none" w:sz="0" w:space="0" w:color="auto"/>
            <w:right w:val="none" w:sz="0" w:space="0" w:color="auto"/>
          </w:divBdr>
        </w:div>
        <w:div w:id="195428624">
          <w:marLeft w:val="480"/>
          <w:marRight w:val="0"/>
          <w:marTop w:val="0"/>
          <w:marBottom w:val="0"/>
          <w:divBdr>
            <w:top w:val="none" w:sz="0" w:space="0" w:color="auto"/>
            <w:left w:val="none" w:sz="0" w:space="0" w:color="auto"/>
            <w:bottom w:val="none" w:sz="0" w:space="0" w:color="auto"/>
            <w:right w:val="none" w:sz="0" w:space="0" w:color="auto"/>
          </w:divBdr>
        </w:div>
        <w:div w:id="2063097808">
          <w:marLeft w:val="480"/>
          <w:marRight w:val="0"/>
          <w:marTop w:val="0"/>
          <w:marBottom w:val="0"/>
          <w:divBdr>
            <w:top w:val="none" w:sz="0" w:space="0" w:color="auto"/>
            <w:left w:val="none" w:sz="0" w:space="0" w:color="auto"/>
            <w:bottom w:val="none" w:sz="0" w:space="0" w:color="auto"/>
            <w:right w:val="none" w:sz="0" w:space="0" w:color="auto"/>
          </w:divBdr>
        </w:div>
        <w:div w:id="651836645">
          <w:marLeft w:val="480"/>
          <w:marRight w:val="0"/>
          <w:marTop w:val="0"/>
          <w:marBottom w:val="0"/>
          <w:divBdr>
            <w:top w:val="none" w:sz="0" w:space="0" w:color="auto"/>
            <w:left w:val="none" w:sz="0" w:space="0" w:color="auto"/>
            <w:bottom w:val="none" w:sz="0" w:space="0" w:color="auto"/>
            <w:right w:val="none" w:sz="0" w:space="0" w:color="auto"/>
          </w:divBdr>
        </w:div>
        <w:div w:id="1907260526">
          <w:marLeft w:val="480"/>
          <w:marRight w:val="0"/>
          <w:marTop w:val="0"/>
          <w:marBottom w:val="0"/>
          <w:divBdr>
            <w:top w:val="none" w:sz="0" w:space="0" w:color="auto"/>
            <w:left w:val="none" w:sz="0" w:space="0" w:color="auto"/>
            <w:bottom w:val="none" w:sz="0" w:space="0" w:color="auto"/>
            <w:right w:val="none" w:sz="0" w:space="0" w:color="auto"/>
          </w:divBdr>
        </w:div>
        <w:div w:id="1702172448">
          <w:marLeft w:val="480"/>
          <w:marRight w:val="0"/>
          <w:marTop w:val="0"/>
          <w:marBottom w:val="0"/>
          <w:divBdr>
            <w:top w:val="none" w:sz="0" w:space="0" w:color="auto"/>
            <w:left w:val="none" w:sz="0" w:space="0" w:color="auto"/>
            <w:bottom w:val="none" w:sz="0" w:space="0" w:color="auto"/>
            <w:right w:val="none" w:sz="0" w:space="0" w:color="auto"/>
          </w:divBdr>
        </w:div>
        <w:div w:id="297956836">
          <w:marLeft w:val="480"/>
          <w:marRight w:val="0"/>
          <w:marTop w:val="0"/>
          <w:marBottom w:val="0"/>
          <w:divBdr>
            <w:top w:val="none" w:sz="0" w:space="0" w:color="auto"/>
            <w:left w:val="none" w:sz="0" w:space="0" w:color="auto"/>
            <w:bottom w:val="none" w:sz="0" w:space="0" w:color="auto"/>
            <w:right w:val="none" w:sz="0" w:space="0" w:color="auto"/>
          </w:divBdr>
        </w:div>
        <w:div w:id="180558955">
          <w:marLeft w:val="480"/>
          <w:marRight w:val="0"/>
          <w:marTop w:val="0"/>
          <w:marBottom w:val="0"/>
          <w:divBdr>
            <w:top w:val="none" w:sz="0" w:space="0" w:color="auto"/>
            <w:left w:val="none" w:sz="0" w:space="0" w:color="auto"/>
            <w:bottom w:val="none" w:sz="0" w:space="0" w:color="auto"/>
            <w:right w:val="none" w:sz="0" w:space="0" w:color="auto"/>
          </w:divBdr>
        </w:div>
        <w:div w:id="2122453847">
          <w:marLeft w:val="480"/>
          <w:marRight w:val="0"/>
          <w:marTop w:val="0"/>
          <w:marBottom w:val="0"/>
          <w:divBdr>
            <w:top w:val="none" w:sz="0" w:space="0" w:color="auto"/>
            <w:left w:val="none" w:sz="0" w:space="0" w:color="auto"/>
            <w:bottom w:val="none" w:sz="0" w:space="0" w:color="auto"/>
            <w:right w:val="none" w:sz="0" w:space="0" w:color="auto"/>
          </w:divBdr>
        </w:div>
        <w:div w:id="1017465370">
          <w:marLeft w:val="480"/>
          <w:marRight w:val="0"/>
          <w:marTop w:val="0"/>
          <w:marBottom w:val="0"/>
          <w:divBdr>
            <w:top w:val="none" w:sz="0" w:space="0" w:color="auto"/>
            <w:left w:val="none" w:sz="0" w:space="0" w:color="auto"/>
            <w:bottom w:val="none" w:sz="0" w:space="0" w:color="auto"/>
            <w:right w:val="none" w:sz="0" w:space="0" w:color="auto"/>
          </w:divBdr>
        </w:div>
        <w:div w:id="1982231644">
          <w:marLeft w:val="480"/>
          <w:marRight w:val="0"/>
          <w:marTop w:val="0"/>
          <w:marBottom w:val="0"/>
          <w:divBdr>
            <w:top w:val="none" w:sz="0" w:space="0" w:color="auto"/>
            <w:left w:val="none" w:sz="0" w:space="0" w:color="auto"/>
            <w:bottom w:val="none" w:sz="0" w:space="0" w:color="auto"/>
            <w:right w:val="none" w:sz="0" w:space="0" w:color="auto"/>
          </w:divBdr>
        </w:div>
        <w:div w:id="1763794701">
          <w:marLeft w:val="480"/>
          <w:marRight w:val="0"/>
          <w:marTop w:val="0"/>
          <w:marBottom w:val="0"/>
          <w:divBdr>
            <w:top w:val="none" w:sz="0" w:space="0" w:color="auto"/>
            <w:left w:val="none" w:sz="0" w:space="0" w:color="auto"/>
            <w:bottom w:val="none" w:sz="0" w:space="0" w:color="auto"/>
            <w:right w:val="none" w:sz="0" w:space="0" w:color="auto"/>
          </w:divBdr>
        </w:div>
        <w:div w:id="742876028">
          <w:marLeft w:val="480"/>
          <w:marRight w:val="0"/>
          <w:marTop w:val="0"/>
          <w:marBottom w:val="0"/>
          <w:divBdr>
            <w:top w:val="none" w:sz="0" w:space="0" w:color="auto"/>
            <w:left w:val="none" w:sz="0" w:space="0" w:color="auto"/>
            <w:bottom w:val="none" w:sz="0" w:space="0" w:color="auto"/>
            <w:right w:val="none" w:sz="0" w:space="0" w:color="auto"/>
          </w:divBdr>
        </w:div>
        <w:div w:id="523328969">
          <w:marLeft w:val="480"/>
          <w:marRight w:val="0"/>
          <w:marTop w:val="0"/>
          <w:marBottom w:val="0"/>
          <w:divBdr>
            <w:top w:val="none" w:sz="0" w:space="0" w:color="auto"/>
            <w:left w:val="none" w:sz="0" w:space="0" w:color="auto"/>
            <w:bottom w:val="none" w:sz="0" w:space="0" w:color="auto"/>
            <w:right w:val="none" w:sz="0" w:space="0" w:color="auto"/>
          </w:divBdr>
        </w:div>
        <w:div w:id="1270820831">
          <w:marLeft w:val="480"/>
          <w:marRight w:val="0"/>
          <w:marTop w:val="0"/>
          <w:marBottom w:val="0"/>
          <w:divBdr>
            <w:top w:val="none" w:sz="0" w:space="0" w:color="auto"/>
            <w:left w:val="none" w:sz="0" w:space="0" w:color="auto"/>
            <w:bottom w:val="none" w:sz="0" w:space="0" w:color="auto"/>
            <w:right w:val="none" w:sz="0" w:space="0" w:color="auto"/>
          </w:divBdr>
        </w:div>
        <w:div w:id="1412462483">
          <w:marLeft w:val="480"/>
          <w:marRight w:val="0"/>
          <w:marTop w:val="0"/>
          <w:marBottom w:val="0"/>
          <w:divBdr>
            <w:top w:val="none" w:sz="0" w:space="0" w:color="auto"/>
            <w:left w:val="none" w:sz="0" w:space="0" w:color="auto"/>
            <w:bottom w:val="none" w:sz="0" w:space="0" w:color="auto"/>
            <w:right w:val="none" w:sz="0" w:space="0" w:color="auto"/>
          </w:divBdr>
        </w:div>
        <w:div w:id="1234043410">
          <w:marLeft w:val="480"/>
          <w:marRight w:val="0"/>
          <w:marTop w:val="0"/>
          <w:marBottom w:val="0"/>
          <w:divBdr>
            <w:top w:val="none" w:sz="0" w:space="0" w:color="auto"/>
            <w:left w:val="none" w:sz="0" w:space="0" w:color="auto"/>
            <w:bottom w:val="none" w:sz="0" w:space="0" w:color="auto"/>
            <w:right w:val="none" w:sz="0" w:space="0" w:color="auto"/>
          </w:divBdr>
        </w:div>
        <w:div w:id="1121804280">
          <w:marLeft w:val="480"/>
          <w:marRight w:val="0"/>
          <w:marTop w:val="0"/>
          <w:marBottom w:val="0"/>
          <w:divBdr>
            <w:top w:val="none" w:sz="0" w:space="0" w:color="auto"/>
            <w:left w:val="none" w:sz="0" w:space="0" w:color="auto"/>
            <w:bottom w:val="none" w:sz="0" w:space="0" w:color="auto"/>
            <w:right w:val="none" w:sz="0" w:space="0" w:color="auto"/>
          </w:divBdr>
        </w:div>
        <w:div w:id="719597576">
          <w:marLeft w:val="480"/>
          <w:marRight w:val="0"/>
          <w:marTop w:val="0"/>
          <w:marBottom w:val="0"/>
          <w:divBdr>
            <w:top w:val="none" w:sz="0" w:space="0" w:color="auto"/>
            <w:left w:val="none" w:sz="0" w:space="0" w:color="auto"/>
            <w:bottom w:val="none" w:sz="0" w:space="0" w:color="auto"/>
            <w:right w:val="none" w:sz="0" w:space="0" w:color="auto"/>
          </w:divBdr>
        </w:div>
      </w:divsChild>
    </w:div>
    <w:div w:id="622690256">
      <w:bodyDiv w:val="1"/>
      <w:marLeft w:val="0"/>
      <w:marRight w:val="0"/>
      <w:marTop w:val="0"/>
      <w:marBottom w:val="0"/>
      <w:divBdr>
        <w:top w:val="none" w:sz="0" w:space="0" w:color="auto"/>
        <w:left w:val="none" w:sz="0" w:space="0" w:color="auto"/>
        <w:bottom w:val="none" w:sz="0" w:space="0" w:color="auto"/>
        <w:right w:val="none" w:sz="0" w:space="0" w:color="auto"/>
      </w:divBdr>
    </w:div>
    <w:div w:id="671838324">
      <w:bodyDiv w:val="1"/>
      <w:marLeft w:val="0"/>
      <w:marRight w:val="0"/>
      <w:marTop w:val="0"/>
      <w:marBottom w:val="0"/>
      <w:divBdr>
        <w:top w:val="none" w:sz="0" w:space="0" w:color="auto"/>
        <w:left w:val="none" w:sz="0" w:space="0" w:color="auto"/>
        <w:bottom w:val="none" w:sz="0" w:space="0" w:color="auto"/>
        <w:right w:val="none" w:sz="0" w:space="0" w:color="auto"/>
      </w:divBdr>
    </w:div>
    <w:div w:id="698623058">
      <w:bodyDiv w:val="1"/>
      <w:marLeft w:val="0"/>
      <w:marRight w:val="0"/>
      <w:marTop w:val="0"/>
      <w:marBottom w:val="0"/>
      <w:divBdr>
        <w:top w:val="none" w:sz="0" w:space="0" w:color="auto"/>
        <w:left w:val="none" w:sz="0" w:space="0" w:color="auto"/>
        <w:bottom w:val="none" w:sz="0" w:space="0" w:color="auto"/>
        <w:right w:val="none" w:sz="0" w:space="0" w:color="auto"/>
      </w:divBdr>
    </w:div>
    <w:div w:id="705715421">
      <w:bodyDiv w:val="1"/>
      <w:marLeft w:val="0"/>
      <w:marRight w:val="0"/>
      <w:marTop w:val="0"/>
      <w:marBottom w:val="0"/>
      <w:divBdr>
        <w:top w:val="none" w:sz="0" w:space="0" w:color="auto"/>
        <w:left w:val="none" w:sz="0" w:space="0" w:color="auto"/>
        <w:bottom w:val="none" w:sz="0" w:space="0" w:color="auto"/>
        <w:right w:val="none" w:sz="0" w:space="0" w:color="auto"/>
      </w:divBdr>
    </w:div>
    <w:div w:id="714501897">
      <w:bodyDiv w:val="1"/>
      <w:marLeft w:val="0"/>
      <w:marRight w:val="0"/>
      <w:marTop w:val="0"/>
      <w:marBottom w:val="0"/>
      <w:divBdr>
        <w:top w:val="none" w:sz="0" w:space="0" w:color="auto"/>
        <w:left w:val="none" w:sz="0" w:space="0" w:color="auto"/>
        <w:bottom w:val="none" w:sz="0" w:space="0" w:color="auto"/>
        <w:right w:val="none" w:sz="0" w:space="0" w:color="auto"/>
      </w:divBdr>
    </w:div>
    <w:div w:id="780418542">
      <w:bodyDiv w:val="1"/>
      <w:marLeft w:val="0"/>
      <w:marRight w:val="0"/>
      <w:marTop w:val="0"/>
      <w:marBottom w:val="0"/>
      <w:divBdr>
        <w:top w:val="none" w:sz="0" w:space="0" w:color="auto"/>
        <w:left w:val="none" w:sz="0" w:space="0" w:color="auto"/>
        <w:bottom w:val="none" w:sz="0" w:space="0" w:color="auto"/>
        <w:right w:val="none" w:sz="0" w:space="0" w:color="auto"/>
      </w:divBdr>
    </w:div>
    <w:div w:id="791896358">
      <w:bodyDiv w:val="1"/>
      <w:marLeft w:val="0"/>
      <w:marRight w:val="0"/>
      <w:marTop w:val="0"/>
      <w:marBottom w:val="0"/>
      <w:divBdr>
        <w:top w:val="none" w:sz="0" w:space="0" w:color="auto"/>
        <w:left w:val="none" w:sz="0" w:space="0" w:color="auto"/>
        <w:bottom w:val="none" w:sz="0" w:space="0" w:color="auto"/>
        <w:right w:val="none" w:sz="0" w:space="0" w:color="auto"/>
      </w:divBdr>
    </w:div>
    <w:div w:id="851264768">
      <w:bodyDiv w:val="1"/>
      <w:marLeft w:val="0"/>
      <w:marRight w:val="0"/>
      <w:marTop w:val="0"/>
      <w:marBottom w:val="0"/>
      <w:divBdr>
        <w:top w:val="none" w:sz="0" w:space="0" w:color="auto"/>
        <w:left w:val="none" w:sz="0" w:space="0" w:color="auto"/>
        <w:bottom w:val="none" w:sz="0" w:space="0" w:color="auto"/>
        <w:right w:val="none" w:sz="0" w:space="0" w:color="auto"/>
      </w:divBdr>
    </w:div>
    <w:div w:id="873808660">
      <w:bodyDiv w:val="1"/>
      <w:marLeft w:val="0"/>
      <w:marRight w:val="0"/>
      <w:marTop w:val="0"/>
      <w:marBottom w:val="0"/>
      <w:divBdr>
        <w:top w:val="none" w:sz="0" w:space="0" w:color="auto"/>
        <w:left w:val="none" w:sz="0" w:space="0" w:color="auto"/>
        <w:bottom w:val="none" w:sz="0" w:space="0" w:color="auto"/>
        <w:right w:val="none" w:sz="0" w:space="0" w:color="auto"/>
      </w:divBdr>
    </w:div>
    <w:div w:id="887112482">
      <w:bodyDiv w:val="1"/>
      <w:marLeft w:val="0"/>
      <w:marRight w:val="0"/>
      <w:marTop w:val="0"/>
      <w:marBottom w:val="0"/>
      <w:divBdr>
        <w:top w:val="none" w:sz="0" w:space="0" w:color="auto"/>
        <w:left w:val="none" w:sz="0" w:space="0" w:color="auto"/>
        <w:bottom w:val="none" w:sz="0" w:space="0" w:color="auto"/>
        <w:right w:val="none" w:sz="0" w:space="0" w:color="auto"/>
      </w:divBdr>
    </w:div>
    <w:div w:id="891771991">
      <w:bodyDiv w:val="1"/>
      <w:marLeft w:val="0"/>
      <w:marRight w:val="0"/>
      <w:marTop w:val="0"/>
      <w:marBottom w:val="0"/>
      <w:divBdr>
        <w:top w:val="none" w:sz="0" w:space="0" w:color="auto"/>
        <w:left w:val="none" w:sz="0" w:space="0" w:color="auto"/>
        <w:bottom w:val="none" w:sz="0" w:space="0" w:color="auto"/>
        <w:right w:val="none" w:sz="0" w:space="0" w:color="auto"/>
      </w:divBdr>
    </w:div>
    <w:div w:id="909777849">
      <w:bodyDiv w:val="1"/>
      <w:marLeft w:val="0"/>
      <w:marRight w:val="0"/>
      <w:marTop w:val="0"/>
      <w:marBottom w:val="0"/>
      <w:divBdr>
        <w:top w:val="none" w:sz="0" w:space="0" w:color="auto"/>
        <w:left w:val="none" w:sz="0" w:space="0" w:color="auto"/>
        <w:bottom w:val="none" w:sz="0" w:space="0" w:color="auto"/>
        <w:right w:val="none" w:sz="0" w:space="0" w:color="auto"/>
      </w:divBdr>
    </w:div>
    <w:div w:id="1045760420">
      <w:bodyDiv w:val="1"/>
      <w:marLeft w:val="0"/>
      <w:marRight w:val="0"/>
      <w:marTop w:val="0"/>
      <w:marBottom w:val="0"/>
      <w:divBdr>
        <w:top w:val="none" w:sz="0" w:space="0" w:color="auto"/>
        <w:left w:val="none" w:sz="0" w:space="0" w:color="auto"/>
        <w:bottom w:val="none" w:sz="0" w:space="0" w:color="auto"/>
        <w:right w:val="none" w:sz="0" w:space="0" w:color="auto"/>
      </w:divBdr>
    </w:div>
    <w:div w:id="1124153304">
      <w:bodyDiv w:val="1"/>
      <w:marLeft w:val="0"/>
      <w:marRight w:val="0"/>
      <w:marTop w:val="0"/>
      <w:marBottom w:val="0"/>
      <w:divBdr>
        <w:top w:val="none" w:sz="0" w:space="0" w:color="auto"/>
        <w:left w:val="none" w:sz="0" w:space="0" w:color="auto"/>
        <w:bottom w:val="none" w:sz="0" w:space="0" w:color="auto"/>
        <w:right w:val="none" w:sz="0" w:space="0" w:color="auto"/>
      </w:divBdr>
    </w:div>
    <w:div w:id="1133870602">
      <w:bodyDiv w:val="1"/>
      <w:marLeft w:val="0"/>
      <w:marRight w:val="0"/>
      <w:marTop w:val="0"/>
      <w:marBottom w:val="0"/>
      <w:divBdr>
        <w:top w:val="none" w:sz="0" w:space="0" w:color="auto"/>
        <w:left w:val="none" w:sz="0" w:space="0" w:color="auto"/>
        <w:bottom w:val="none" w:sz="0" w:space="0" w:color="auto"/>
        <w:right w:val="none" w:sz="0" w:space="0" w:color="auto"/>
      </w:divBdr>
    </w:div>
    <w:div w:id="1219054159">
      <w:bodyDiv w:val="1"/>
      <w:marLeft w:val="0"/>
      <w:marRight w:val="0"/>
      <w:marTop w:val="0"/>
      <w:marBottom w:val="0"/>
      <w:divBdr>
        <w:top w:val="none" w:sz="0" w:space="0" w:color="auto"/>
        <w:left w:val="none" w:sz="0" w:space="0" w:color="auto"/>
        <w:bottom w:val="none" w:sz="0" w:space="0" w:color="auto"/>
        <w:right w:val="none" w:sz="0" w:space="0" w:color="auto"/>
      </w:divBdr>
    </w:div>
    <w:div w:id="1312369313">
      <w:bodyDiv w:val="1"/>
      <w:marLeft w:val="0"/>
      <w:marRight w:val="0"/>
      <w:marTop w:val="0"/>
      <w:marBottom w:val="0"/>
      <w:divBdr>
        <w:top w:val="none" w:sz="0" w:space="0" w:color="auto"/>
        <w:left w:val="none" w:sz="0" w:space="0" w:color="auto"/>
        <w:bottom w:val="none" w:sz="0" w:space="0" w:color="auto"/>
        <w:right w:val="none" w:sz="0" w:space="0" w:color="auto"/>
      </w:divBdr>
    </w:div>
    <w:div w:id="1344473832">
      <w:bodyDiv w:val="1"/>
      <w:marLeft w:val="0"/>
      <w:marRight w:val="0"/>
      <w:marTop w:val="0"/>
      <w:marBottom w:val="0"/>
      <w:divBdr>
        <w:top w:val="none" w:sz="0" w:space="0" w:color="auto"/>
        <w:left w:val="none" w:sz="0" w:space="0" w:color="auto"/>
        <w:bottom w:val="none" w:sz="0" w:space="0" w:color="auto"/>
        <w:right w:val="none" w:sz="0" w:space="0" w:color="auto"/>
      </w:divBdr>
    </w:div>
    <w:div w:id="1449155365">
      <w:bodyDiv w:val="1"/>
      <w:marLeft w:val="0"/>
      <w:marRight w:val="0"/>
      <w:marTop w:val="0"/>
      <w:marBottom w:val="0"/>
      <w:divBdr>
        <w:top w:val="none" w:sz="0" w:space="0" w:color="auto"/>
        <w:left w:val="none" w:sz="0" w:space="0" w:color="auto"/>
        <w:bottom w:val="none" w:sz="0" w:space="0" w:color="auto"/>
        <w:right w:val="none" w:sz="0" w:space="0" w:color="auto"/>
      </w:divBdr>
    </w:div>
    <w:div w:id="1597398075">
      <w:bodyDiv w:val="1"/>
      <w:marLeft w:val="0"/>
      <w:marRight w:val="0"/>
      <w:marTop w:val="0"/>
      <w:marBottom w:val="0"/>
      <w:divBdr>
        <w:top w:val="none" w:sz="0" w:space="0" w:color="auto"/>
        <w:left w:val="none" w:sz="0" w:space="0" w:color="auto"/>
        <w:bottom w:val="none" w:sz="0" w:space="0" w:color="auto"/>
        <w:right w:val="none" w:sz="0" w:space="0" w:color="auto"/>
      </w:divBdr>
    </w:div>
    <w:div w:id="1614631914">
      <w:bodyDiv w:val="1"/>
      <w:marLeft w:val="0"/>
      <w:marRight w:val="0"/>
      <w:marTop w:val="0"/>
      <w:marBottom w:val="0"/>
      <w:divBdr>
        <w:top w:val="none" w:sz="0" w:space="0" w:color="auto"/>
        <w:left w:val="none" w:sz="0" w:space="0" w:color="auto"/>
        <w:bottom w:val="none" w:sz="0" w:space="0" w:color="auto"/>
        <w:right w:val="none" w:sz="0" w:space="0" w:color="auto"/>
      </w:divBdr>
    </w:div>
    <w:div w:id="1714309524">
      <w:bodyDiv w:val="1"/>
      <w:marLeft w:val="0"/>
      <w:marRight w:val="0"/>
      <w:marTop w:val="0"/>
      <w:marBottom w:val="0"/>
      <w:divBdr>
        <w:top w:val="none" w:sz="0" w:space="0" w:color="auto"/>
        <w:left w:val="none" w:sz="0" w:space="0" w:color="auto"/>
        <w:bottom w:val="none" w:sz="0" w:space="0" w:color="auto"/>
        <w:right w:val="none" w:sz="0" w:space="0" w:color="auto"/>
      </w:divBdr>
    </w:div>
    <w:div w:id="1845318025">
      <w:bodyDiv w:val="1"/>
      <w:marLeft w:val="0"/>
      <w:marRight w:val="0"/>
      <w:marTop w:val="0"/>
      <w:marBottom w:val="0"/>
      <w:divBdr>
        <w:top w:val="none" w:sz="0" w:space="0" w:color="auto"/>
        <w:left w:val="none" w:sz="0" w:space="0" w:color="auto"/>
        <w:bottom w:val="none" w:sz="0" w:space="0" w:color="auto"/>
        <w:right w:val="none" w:sz="0" w:space="0" w:color="auto"/>
      </w:divBdr>
    </w:div>
    <w:div w:id="1909724019">
      <w:bodyDiv w:val="1"/>
      <w:marLeft w:val="0"/>
      <w:marRight w:val="0"/>
      <w:marTop w:val="0"/>
      <w:marBottom w:val="0"/>
      <w:divBdr>
        <w:top w:val="none" w:sz="0" w:space="0" w:color="auto"/>
        <w:left w:val="none" w:sz="0" w:space="0" w:color="auto"/>
        <w:bottom w:val="none" w:sz="0" w:space="0" w:color="auto"/>
        <w:right w:val="none" w:sz="0" w:space="0" w:color="auto"/>
      </w:divBdr>
    </w:div>
    <w:div w:id="1947881202">
      <w:bodyDiv w:val="1"/>
      <w:marLeft w:val="0"/>
      <w:marRight w:val="0"/>
      <w:marTop w:val="0"/>
      <w:marBottom w:val="0"/>
      <w:divBdr>
        <w:top w:val="none" w:sz="0" w:space="0" w:color="auto"/>
        <w:left w:val="none" w:sz="0" w:space="0" w:color="auto"/>
        <w:bottom w:val="none" w:sz="0" w:space="0" w:color="auto"/>
        <w:right w:val="none" w:sz="0" w:space="0" w:color="auto"/>
      </w:divBdr>
    </w:div>
    <w:div w:id="2037849702">
      <w:bodyDiv w:val="1"/>
      <w:marLeft w:val="0"/>
      <w:marRight w:val="0"/>
      <w:marTop w:val="0"/>
      <w:marBottom w:val="0"/>
      <w:divBdr>
        <w:top w:val="none" w:sz="0" w:space="0" w:color="auto"/>
        <w:left w:val="none" w:sz="0" w:space="0" w:color="auto"/>
        <w:bottom w:val="none" w:sz="0" w:space="0" w:color="auto"/>
        <w:right w:val="none" w:sz="0" w:space="0" w:color="auto"/>
      </w:divBdr>
    </w:div>
    <w:div w:id="2052531088">
      <w:bodyDiv w:val="1"/>
      <w:marLeft w:val="0"/>
      <w:marRight w:val="0"/>
      <w:marTop w:val="0"/>
      <w:marBottom w:val="0"/>
      <w:divBdr>
        <w:top w:val="none" w:sz="0" w:space="0" w:color="auto"/>
        <w:left w:val="none" w:sz="0" w:space="0" w:color="auto"/>
        <w:bottom w:val="none" w:sz="0" w:space="0" w:color="auto"/>
        <w:right w:val="none" w:sz="0" w:space="0" w:color="auto"/>
      </w:divBdr>
    </w:div>
    <w:div w:id="2096509295">
      <w:bodyDiv w:val="1"/>
      <w:marLeft w:val="0"/>
      <w:marRight w:val="0"/>
      <w:marTop w:val="0"/>
      <w:marBottom w:val="0"/>
      <w:divBdr>
        <w:top w:val="none" w:sz="0" w:space="0" w:color="auto"/>
        <w:left w:val="none" w:sz="0" w:space="0" w:color="auto"/>
        <w:bottom w:val="none" w:sz="0" w:space="0" w:color="auto"/>
        <w:right w:val="none" w:sz="0" w:space="0" w:color="auto"/>
      </w:divBdr>
    </w:div>
    <w:div w:id="2099013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creativecommons.org/licenses/by-sa/4.0/"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creativecommons.org/licenses/by-sa/4.0/"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hyperlink" Target="https://doi.org/10.62872/c6z3b97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38B49680-C21C-4772-86EB-852E84146D02}"/>
      </w:docPartPr>
      <w:docPartBody>
        <w:p w:rsidR="0059079A" w:rsidRDefault="00E41BB9">
          <w:r w:rsidRPr="004E0C6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AdvOTc4d0b532">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BB9"/>
    <w:rsid w:val="00146EB0"/>
    <w:rsid w:val="002A05A3"/>
    <w:rsid w:val="002F6643"/>
    <w:rsid w:val="00575C41"/>
    <w:rsid w:val="0059079A"/>
    <w:rsid w:val="005F6B36"/>
    <w:rsid w:val="00851AF4"/>
    <w:rsid w:val="00B260CE"/>
    <w:rsid w:val="00BD1A13"/>
    <w:rsid w:val="00E41BB9"/>
    <w:rsid w:val="00F61F64"/>
    <w:rsid w:val="00F934EC"/>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id-ID" w:eastAsia="id-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41BB9"/>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1EAB753-0E95-49CF-B245-85C64E8A6007}">
  <we:reference id="wa104382081" version="1.55.1.0" store="en-US" storeType="OMEX"/>
  <we:alternateReferences>
    <we:reference id="WA104382081" version="1.55.1.0" store="" storeType="OMEX"/>
  </we:alternateReferences>
  <we:properties>
    <we:property name="MENDELEY_CITATIONS" value="[{&quot;citationID&quot;:&quot;MENDELEY_CITATION_7ed3b0e9-cac0-48ce-b3a6-246f213bb4f4&quot;,&quot;properties&quot;:{&quot;noteIndex&quot;:0},&quot;isEdited&quot;:false,&quot;manualOverride&quot;:{&quot;isManuallyOverridden&quot;:false,&quot;citeprocText&quot;:&quot;(Fajrin et al., 2023)&quot;,&quot;manualOverrideText&quot;:&quot;&quot;},&quot;citationTag&quot;:&quot;MENDELEY_CITATION_v3_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&quot;,&quot;citationItems&quot;:[{&quot;id&quot;:&quot;b5aa30fe-d8d4-34a8-99e4-e904c36474aa&quot;,&quot;itemData&quot;:{&quot;type&quot;:&quot;article-journal&quot;,&quot;id&quot;:&quot;b5aa30fe-d8d4-34a8-99e4-e904c36474aa&quot;,&quot;title&quot;:&quot;The Effectiveness of the Case Method to Improve Student Learning Outcomes in the SMAW Subject&quot;,&quot;author&quot;:[{&quot;family&quot;:&quot;Fajrin&quot;,&quot;given&quot;:&quot;M&quot;,&quot;parse-names&quot;:false,&quot;dropping-particle&quot;:&quot;&quot;,&quot;non-dropping-particle&quot;:&quot;&quot;},{&quot;family&quot;:&quot;Purwantono&quot;,&quot;given&quot;:&quot;Purwantono&quot;,&quot;parse-names&quot;:false,&quot;dropping-particle&quot;:&quot;&quot;,&quot;non-dropping-particle&quot;:&quot;&quot;},{&quot;family&quot;:&quot;Irzal&quot;,&quot;given&quot;:&quot;Irzal&quot;,&quot;parse-names&quot;:false,&quot;dropping-particle&quot;:&quot;&quot;,&quot;non-dropping-particle&quot;:&quot;&quot;},{&quot;family&quot;:&quot;Rahim&quot;,&quot;given&quot;:&quot;Bulkia&quot;,&quot;parse-names&quot;:false,&quot;dropping-particle&quot;:&quot;&quot;,&quot;non-dropping-particle&quot;:&quot;&quot;},{&quot;family&quot;:&quot;Zaus&quot;,&quot;given&quot;:&quot;Anggi A&quot;,&quot;parse-names&quot;:false,&quot;dropping-particle&quot;:&quot;&quot;,&quot;non-dropping-particle&quot;:&quot;&quot;}],&quot;container-title&quot;:&quot;Jurnal Pendidikan Teknologi Kejuruan&quot;,&quot;DOI&quot;:&quot;10.24036/jptk.v6i4.34723&quot;,&quot;issued&quot;:{&quot;date-parts&quot;:[[2023]]},&quot;page&quot;:&quot;270-277&quot;,&quot;issue&quot;:&quot;4&quot;,&quot;volume&quot;:&quot;6&quot;,&quot;container-title-short&quot;:&quot;&quot;},&quot;isTemporary&quot;:false}]},{&quot;citationID&quot;:&quot;MENDELEY_CITATION_b719b866-28be-45fa-9704-057b76dd0959&quot;,&quot;properties&quot;:{&quot;noteIndex&quot;:0},&quot;isEdited&quot;:false,&quot;manualOverride&quot;:{&quot;isManuallyOverridden&quot;:false,&quot;citeprocText&quot;:&quot;(Suyama et al., 2023)&quot;,&quot;manualOverrideText&quot;:&quot;&quot;},&quot;citationTag&quot;:&quot;MENDELEY_CITATION_v3_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&quot;,&quot;citationItems&quot;:[{&quot;id&quot;:&quot;ab396d42-4ffb-35ec-85b1-fc4d2f2d3bf2&quot;,&quot;itemData&quot;:{&quot;type&quot;:&quot;article-journal&quot;,&quot;id&quot;:&quot;ab396d42-4ffb-35ec-85b1-fc4d2f2d3bf2&quot;,&quot;title&quot;:&quot;Reflection on Feasibility and Usability of Interactive Online International Exchange Program for Occupational Therapy Students&quot;,&quot;author&quot;:[{&quot;family&quot;:&quot;Suyama&quot;,&quot;given&quot;:&quot;Natsuka&quot;,&quot;parse-names&quot;:false,&quot;dropping-particle&quot;:&quot;&quot;,&quot;non-dropping-particle&quot;:&quot;&quot;},{&quot;family&quot;:&quot;Inoue&quot;,&quot;given&quot;:&quot;Kaoru&quot;,&quot;parse-names&quot;:false,&quot;dropping-particle&quot;:&quot;&quot;,&quot;non-dropping-particle&quot;:&quot;&quot;},{&quot;family&quot;:&quot;Sorasak&quot;,&quot;given&quot;:&quot;Supatida&quot;,&quot;parse-names&quot;:false,&quot;dropping-particle&quot;:&quot;&quot;,&quot;non-dropping-particle&quot;:&quot;&quot;},{&quot;family&quot;:&quot;Thawisuk&quot;,&quot;given&quot;:&quot;Chirathip&quot;,&quot;parse-names&quot;:false,&quot;dropping-particle&quot;:&quot;&quot;,&quot;non-dropping-particle&quot;:&quot;&quot;},{&quot;family&quot;:&quot;Watanabe&quot;,&quot;given&quot;:&quot;Masaru&quot;,&quot;parse-names&quot;:false,&quot;dropping-particle&quot;:&quot;&quot;,&quot;non-dropping-particle&quot;:&quot;&quot;}],&quot;container-title&quot;:&quot;Discover Education&quot;,&quot;DOI&quot;:&quot;10.1007/s44217-023-00031-4&quot;,&quot;issued&quot;:{&quot;date-parts&quot;:[[2023]]},&quot;issue&quot;:&quot;1&quot;,&quot;volume&quot;:&quot;2&quot;,&quot;container-title-short&quot;:&quot;&quot;},&quot;isTemporary&quot;:false}]},{&quot;citationID&quot;:&quot;MENDELEY_CITATION_4c75fb11-0e7f-41c7-82e0-1de1ffdba0d8&quot;,&quot;properties&quot;:{&quot;noteIndex&quot;:0},&quot;isEdited&quot;:false,&quot;manualOverride&quot;:{&quot;isManuallyOverridden&quot;:false,&quot;citeprocText&quot;:&quot;(Hu et al., 2024)&quot;,&quot;manualOverrideText&quot;:&quot;&quot;},&quot;citationTag&quot;:&quot;MENDELEY_CITATION_v3_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&quot;,&quot;citationItems&quot;:[{&quot;id&quot;:&quot;8425f95b-d131-32dd-b859-cd75e141e824&quot;,&quot;itemData&quot;:{&quot;type&quot;:&quot;article-journal&quot;,&quot;id&quot;:&quot;8425f95b-d131-32dd-b859-cd75e141e824&quot;,&quot;title&quot;:&quot;Evaluating the Effectiveness of a Novel Training Model in Dental Preclinical Regenerative Endodontic Education&quot;,&quot;author&quot;:[{&quot;family&quot;:&quot;Hu&quot;,&quot;given&quot;:&quot;Jia&quot;,&quot;parse-names&quot;:false,&quot;dropping-particle&quot;:&quot;&quot;,&quot;non-dropping-particle&quot;:&quot;&quot;},{&quot;family&quot;:&quot;Chen&quot;,&quot;given&quot;:&quot;Ruonan&quot;,&quot;parse-names&quot;:false,&quot;dropping-particle&quot;:&quot;&quot;,&quot;non-dropping-particle&quot;:&quot;&quot;},{&quot;family&quot;:&quot;Wang&quot;,&quot;given&quot;:&quot;Xiuqing&quot;,&quot;parse-names&quot;:false,&quot;dropping-particle&quot;:&quot;&quot;,&quot;non-dropping-particle&quot;:&quot;&quot;},{&quot;family&quot;:&quot;Lu&quot;,&quot;given&quot;:&quot;G R&quot;,&quot;parse-names&quot;:false,&quot;dropping-particle&quot;:&quot;&quot;,&quot;non-dropping-particle&quot;:&quot;&quot;},{&quot;family&quot;:&quot;Zhang&quot;,&quot;given&quot;:&quot;Ming&quot;,&quot;parse-names&quot;:false,&quot;dropping-particle&quot;:&quot;&quot;,&quot;non-dropping-particle&quot;:&quot;&quot;},{&quot;family&quot;:&quot;Huang&quot;,&quot;given&quot;:&quot;Xiaojing&quot;,&quot;parse-names&quot;:false,&quot;dropping-particle&quot;:&quot;&quot;,&quot;non-dropping-particle&quot;:&quot;&quot;}],&quot;container-title&quot;:&quot;International Endodontic Journal&quot;,&quot;container-title-short&quot;:&quot;Int. Endod. J.&quot;,&quot;DOI&quot;:&quot;10.1111/iej.14169&quot;,&quot;issued&quot;:{&quot;date-parts&quot;:[[2024]]},&quot;page&quot;:&quot;334-345&quot;,&quot;issue&quot;:&quot;2&quot;,&quot;volume&quot;:&quot;58&quot;},&quot;isTemporary&quot;:false}]},{&quot;citationID&quot;:&quot;MENDELEY_CITATION_5a1cf770-9c57-4579-a8ff-eecfdc0038a6&quot;,&quot;properties&quot;:{&quot;noteIndex&quot;:0},&quot;isEdited&quot;:false,&quot;manualOverride&quot;:{&quot;isManuallyOverridden&quot;:false,&quot;citeprocText&quot;:&quot;(Sakti et al., 2022)&quot;,&quot;manualOverrideText&quot;:&quot;&quot;},&quot;citationTag&quot;:&quot;MENDELEY_CITATION_v3_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&quot;,&quot;citationItems&quot;:[{&quot;id&quot;:&quot;c6e75dc2-2d51-3533-bf3f-3efd3fd067f7&quot;,&quot;itemData&quot;:{&quot;type&quot;:&quot;article-journal&quot;,&quot;id&quot;:&quot;c6e75dc2-2d51-3533-bf3f-3efd3fd067f7&quot;,&quot;title&quot;:&quot;Impact of COVID-19 on School Populations and Associated Factors: A Systematic Review&quot;,&quot;author&quot;:[{&quot;family&quot;:&quot;Sakti&quot;,&quot;given&quot;:&quot;Andi M T&quot;,&quot;parse-names&quot;:false,&quot;dropping-particle&quot;:&quot;&quot;,&quot;non-dropping-particle&quot;:&quot;&quot;},{&quot;family&quot;:&quot;Ajis&quot;,&quot;given&quot;:&quot;Siti Z M&quot;,&quot;parse-names&quot;:false,&quot;dropping-particle&quot;:&quot;&quot;,&quot;non-dropping-particle&quot;:&quot;&quot;},{&quot;family&quot;:&quot;Azlan&quot;,&quot;given&quot;:&quot;Arina A&quot;,&quot;parse-names&quot;:false,&quot;dropping-particle&quot;:&quot;&quot;,&quot;non-dropping-particle&quot;:&quot;&quot;},{&quot;family&quot;:&quot;Kim&quot;,&quot;given&quot;:&quot;Hyung J&quot;,&quot;parse-names&quot;:false,&quot;dropping-particle&quot;:&quot;&quot;,&quot;non-dropping-particle&quot;:&quot;&quot;},{&quot;family&quot;:&quot;Wong&quot;,&quot;given&quot;:&quot;Elizabeth&quot;,&quot;parse-names&quot;:false,&quot;dropping-particle&quot;:&quot;&quot;,&quot;non-dropping-particle&quot;:&quot;&quot;},{&quot;family&quot;:&quot;Mohamad&quot;,&quot;given&quot;:&quot;Emma&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9074024&quot;,&quot;issued&quot;:{&quot;date-parts&quot;:[[2022]]},&quot;page&quot;:&quot;4024&quot;,&quot;issue&quot;:&quot;7&quot;,&quot;volume&quot;:&quot;19&quot;},&quot;isTemporary&quot;:false}]},{&quot;citationID&quot;:&quot;MENDELEY_CITATION_b304cd44-edda-47ea-832b-b9b32f934354&quot;,&quot;properties&quot;:{&quot;noteIndex&quot;:0},&quot;isEdited&quot;:false,&quot;manualOverride&quot;:{&quot;isManuallyOverridden&quot;:false,&quot;citeprocText&quot;:&quot;(Hoel, 2023)&quot;,&quot;manualOverrideText&quot;:&quot;&quot;},&quot;citationTag&quot;:&quot;MENDELEY_CITATION_v3_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&quot;,&quot;citationItems&quot;:[{&quot;id&quot;:&quot;88f99514-b78a-3dfa-a084-8f8053d8e861&quot;,&quot;itemData&quot;:{&quot;type&quot;:&quot;article-journal&quot;,&quot;id&quot;:&quot;88f99514-b78a-3dfa-a084-8f8053d8e861&quot;,&quot;title&quot;:&quot;The Significance of Embodied Learning in Police Education&quot;,&quot;author&quot;:[{&quot;family&quot;:&quot;Hoel&quot;,&quot;given&quot;:&quot;Linda&quot;,&quot;parse-names&quot;:false,&quot;dropping-particle&quot;:&quot;&quot;,&quot;non-dropping-particle&quot;:&quot;&quot;}],&quot;container-title&quot;:&quot;European Journal of Policing Studies&quot;,&quot;DOI&quot;:&quot;10.5553/ejps/2034760x2022001004&quot;,&quot;issued&quot;:{&quot;date-parts&quot;:[[2023]]},&quot;page&quot;:&quot;138-155&quot;,&quot;issue&quot;:&quot;2&quot;,&quot;volume&quot;:&quot;6&quot;,&quot;container-title-short&quot;:&quot;&quot;},&quot;isTemporary&quot;:false}]},{&quot;citationID&quot;:&quot;MENDELEY_CITATION_e8eae507-45e7-4aa9-acc0-c4f81023d10e&quot;,&quot;properties&quot;:{&quot;noteIndex&quot;:0},&quot;isEdited&quot;:false,&quot;manualOverride&quot;:{&quot;isManuallyOverridden&quot;:false,&quot;citeprocText&quot;:&quot;(Yıldırım et al., 2023)&quot;,&quot;manualOverrideText&quot;:&quot;&quot;},&quot;citationTag&quot;:&quot;MENDELEY_CITATION_v3_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&quot;,&quot;citationItems&quot;:[{&quot;id&quot;:&quot;ffc9d015-8c66-37f9-a5bc-41b44772e299&quot;,&quot;itemData&quot;:{&quot;type&quot;:&quot;article-journal&quot;,&quot;id&quot;:&quot;ffc9d015-8c66-37f9-a5bc-41b44772e299&quot;,&quot;title&quot;:&quot;The Relationship Between Stress and Professional Attitude of Nursing Students During the COVID‐19 Pandemic&quot;,&quot;author&quot;:[{&quot;family&quot;:&quot;Yıldırım&quot;,&quot;given&quot;:&quot;Tuğba Ö&quot;,&quot;parse-names&quot;:false,&quot;dropping-particle&quot;:&quot;&quot;,&quot;non-dropping-particle&quot;:&quot;&quot;},{&quot;family&quot;:&quot;KARATEPE&quot;,&quot;given&quot;:&quot;Hilal K&quot;,&quot;parse-names&quot;:false,&quot;dropping-particle&quot;:&quot;&quot;,&quot;non-dropping-particle&quot;:&quot;&quot;},{&quot;family&quot;:&quot;Şen&quot;,&quot;given&quot;:&quot;Hanife T&quot;,&quot;parse-names&quot;:false,&quot;dropping-particle&quot;:&quot;&quot;,&quot;non-dropping-particle&quot;:&quot;&quot;}],&quot;container-title&quot;:&quot;Gümüşhane Üniversitesi Sağlık Bilimleri Dergisi&quot;,&quot;DOI&quot;:&quot;10.37989/gumussagbil.1095479&quot;,&quot;issued&quot;:{&quot;date-parts&quot;:[[2023]]},&quot;page&quot;:&quot;940-950&quot;,&quot;issue&quot;:&quot;3&quot;,&quot;volume&quot;:&quot;12&quot;,&quot;container-title-short&quot;:&quot;&quot;},&quot;isTemporary&quot;:false}]},{&quot;citationID&quot;:&quot;MENDELEY_CITATION_2d142ab2-429b-41d9-8918-09ad161390a9&quot;,&quot;properties&quot;:{&quot;noteIndex&quot;:0},&quot;isEdited&quot;:false,&quot;manualOverride&quot;:{&quot;isManuallyOverridden&quot;:false,&quot;citeprocText&quot;:&quot;(Herr et al., 2021)&quot;,&quot;manualOverrideText&quot;:&quot;&quot;},&quot;citationTag&quot;:&quot;MENDELEY_CITATION_v3_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&quot;,&quot;citationItems&quot;:[{&quot;id&quot;:&quot;b98257db-b420-3933-a5f9-43e89f9aedb0&quot;,&quot;itemData&quot;:{&quot;type&quot;:&quot;article-journal&quot;,&quot;id&quot;:&quot;b98257db-b420-3933-a5f9-43e89f9aedb0&quot;,&quot;title&quot;:&quot;The Perspective of Undergraduate Dental Students on Web-Based Learning in Pediatric Dentistry During the COVID-19 Pandemic: A Korean Multicenter Cross-Sectional Survey&quot;,&quot;author&quot;:[{&quot;family&quot;:&quot;Herr&quot;,&quot;given&quot;:&quot;Lan&quot;,&quot;parse-names&quot;:false,&quot;dropping-particle&quot;:&quot;&quot;,&quot;non-dropping-particle&quot;:&quot;&quot;},{&quot;family&quot;:&quot;Jih&quot;,&quot;given&quot;:&quot;Myeongkwan&quot;,&quot;parse-names&quot;:false,&quot;dropping-particle&quot;:&quot;&quot;,&quot;non-dropping-particle&quot;:&quot;&quot;},{&quot;family&quot;:&quot;Shin&quot;,&quot;given&quot;:&quot;Jonghyun&quot;,&quot;parse-names&quot;:false,&quot;dropping-particle&quot;:&quot;&quot;,&quot;non-dropping-particle&quot;:&quot;&quot;},{&quot;family&quot;:&quot;Chae&quot;,&quot;given&quot;:&quot;Yong K&quot;,&quot;parse-names&quot;:false,&quot;dropping-particle&quot;:&quot;&quot;,&quot;non-dropping-particle&quot;:&quot;&quot;},{&quot;family&quot;:&quot;Lee&quot;,&quot;given&quot;:&quot;Hyo-Seol&quot;,&quot;parse-names&quot;:false,&quot;dropping-particle&quot;:&quot;&quot;,&quot;non-dropping-particle&quot;:&quot;&quot;},{&quot;family&quot;:&quot;Choi&quot;,&quot;given&quot;:&quot;Sung C&quot;,&quot;parse-names&quot;:false,&quot;dropping-particle&quot;:&quot;&quot;,&quot;non-dropping-particle&quot;:&quot;&quot;},{&quot;family&quot;:&quot;Nam&quot;,&quot;given&quot;:&quot;Ok H&quot;,&quot;parse-names&quot;:false,&quot;dropping-particle&quot;:&quot;&quot;,&quot;non-dropping-particle&quot;:&quot;&quot;}],&quot;container-title&quot;:&quot;BMC Medical Education&quot;,&quot;container-title-short&quot;:&quot;BMC Med. Educ.&quot;,&quot;DOI&quot;:&quot;10.1186/s12909-021-02928-w&quot;,&quot;issued&quot;:{&quot;date-parts&quot;:[[2021]]},&quot;issue&quot;:&quot;1&quot;,&quot;volume&quot;:&quot;21&quot;},&quot;isTemporary&quot;:false}]},{&quot;citationID&quot;:&quot;MENDELEY_CITATION_8f1c06bb-8ab6-4d4a-947e-bea2b4aea90c&quot;,&quot;properties&quot;:{&quot;noteIndex&quot;:0},&quot;isEdited&quot;:false,&quot;manualOverride&quot;:{&quot;isManuallyOverridden&quot;:false,&quot;citeprocText&quot;:&quot;(Sunarti et al., 2023)&quot;,&quot;manualOverrideText&quot;:&quot;&quot;},&quot;citationTag&quot;:&quot;MENDELEY_CITATION_v3_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&quot;,&quot;citationItems&quot;:[{&quot;id&quot;:&quot;e575c51f-938c-32e3-9dd5-cca902915fdc&quot;,&quot;itemData&quot;:{&quot;type&quot;:&quot;article-journal&quot;,&quot;id&quot;:&quot;e575c51f-938c-32e3-9dd5-cca902915fdc&quot;,&quot;title&quot;:&quot;The Impact of COVID on Microbiology Examination Result With Its Further Analysis Based on Student’s Gender and Place of Residence&quot;,&quot;author&quot;:[{&quot;family&quot;:&quot;Sunarti&quot;,&quot;given&quot;:&quot;Lusia S&quot;,&quot;parse-names&quot;:false,&quot;dropping-particle&quot;:&quot;&quot;,&quot;non-dropping-particle&quot;:&quot;&quot;},{&quot;family&quot;:&quot;Arodes&quot;,&quot;given&quot;:&quot;Evy S&quot;,&quot;parse-names&quot;:false,&quot;dropping-particle&quot;:&quot;&quot;,&quot;non-dropping-particle&quot;:&quot;&quot;},{&quot;family&quot;:&quot;Diani&quot;,&quot;given&quot;:&quot;Yusias H&quot;,&quot;parse-names&quot;:false,&quot;dropping-particle&quot;:&quot;&quot;,&quot;non-dropping-particle&quot;:&quot;&quot;},{&quot;family&quot;:&quot;Salshabila&quot;,&quot;given&quot;:&quot;Ayu A&quot;,&quot;parse-names&quot;:false,&quot;dropping-particle&quot;:&quot;&quot;,&quot;non-dropping-particle&quot;:&quot;&quot;}],&quot;container-title&quot;:&quot;Asian Journal of Research in Infectious Diseases&quot;,&quot;DOI&quot;:&quot;10.9734/ajrid/2023/v13i1258&quot;,&quot;issued&quot;:{&quot;date-parts&quot;:[[2023]]},&quot;page&quot;:&quot;32-42&quot;,&quot;issue&quot;:&quot;1&quot;,&quot;volume&quot;:&quot;13&quot;,&quot;container-title-short&quot;:&quot;&quot;},&quot;isTemporary&quot;:false}]},{&quot;citationID&quot;:&quot;MENDELEY_CITATION_d7dfa032-4f54-4525-a034-e4d17fc6e492&quot;,&quot;properties&quot;:{&quot;noteIndex&quot;:0},&quot;isEdited&quot;:false,&quot;manualOverride&quot;:{&quot;isManuallyOverridden&quot;:false,&quot;citeprocText&quot;:&quot;(Zhang, 2025)&quot;,&quot;manualOverrideText&quot;:&quot;&quot;},&quot;citationTag&quot;:&quot;MENDELEY_CITATION_v3_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&quot;,&quot;citationItems&quot;:[{&quot;id&quot;:&quot;80c9efdf-d310-31d4-a3fa-8cbef5f4976c&quot;,&quot;itemData&quot;:{&quot;type&quot;:&quot;article-journal&quot;,&quot;id&quot;:&quot;80c9efdf-d310-31d4-a3fa-8cbef5f4976c&quot;,&quot;title&quot;:&quot;Research on Vocational Education Practice Teaching Mode Under the Background of “Internet Plus”&quot;,&quot;author&quot;:[{&quot;family&quot;:&quot;Zhang&quot;,&quot;given&quot;:&quot;Yi&quot;,&quot;parse-names&quot;:false,&quot;dropping-particle&quot;:&quot;&quot;,&quot;non-dropping-particle&quot;:&quot;&quot;}],&quot;container-title&quot;:&quot;International Journal of Web-Based Learning and Teaching Technologies&quot;,&quot;DOI&quot;:&quot;10.4018/ijwltt.382589&quot;,&quot;issued&quot;:{&quot;date-parts&quot;:[[2025]]},&quot;page&quot;:&quot;1-18&quot;,&quot;issue&quot;:&quot;1&quot;,&quot;volume&quot;:&quot;20&quot;,&quot;container-title-short&quot;:&quot;&quot;},&quot;isTemporary&quot;:false}]},{&quot;citationID&quot;:&quot;MENDELEY_CITATION_028cdfcf-8e15-452c-ba82-5b82d0d8b237&quot;,&quot;properties&quot;:{&quot;noteIndex&quot;:0},&quot;isEdited&quot;:false,&quot;manualOverride&quot;:{&quot;isManuallyOverridden&quot;:false,&quot;citeprocText&quot;:&quot;(Aydın &amp;#38; ŞAHİN, 2023)&quot;,&quot;manualOverrideText&quot;:&quot;&quot;},&quot;citationTag&quot;:&quot;MENDELEY_CITATION_v3_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&quot;,&quot;citationItems&quot;:[{&quot;id&quot;:&quot;8a8cb949-245d-341c-a695-d07adf46a92b&quot;,&quot;itemData&quot;:{&quot;type&quot;:&quot;article-journal&quot;,&quot;id&quot;:&quot;8a8cb949-245d-341c-a695-d07adf46a92b&quot;,&quot;title&quot;:&quot;Perspectives of the Dental Educators With Regard to Online Education&quot;,&quot;author&quot;:[{&quot;family&quot;:&quot;Aydın&quot;,&quot;given&quot;:&quot;Tuğba&quot;,&quot;parse-names&quot;:false,&quot;dropping-particle&quot;:&quot;&quot;,&quot;non-dropping-particle&quot;:&quot;&quot;},{&quot;family&quot;:&quot;ŞAHİN&quot;,&quot;given&quot;:&quot;Ahmet B&quot;,&quot;parse-names&quot;:false,&quot;dropping-particle&quot;:&quot;&quot;,&quot;non-dropping-particle&quot;:&quot;&quot;}],&quot;container-title&quot;:&quot;Cumhuriyet Dental Journal&quot;,&quot;DOI&quot;:&quot;10.7126/cumudj.1228802&quot;,&quot;issued&quot;:{&quot;date-parts&quot;:[[2023]]},&quot;page&quot;:&quot;54-62&quot;,&quot;issue&quot;:&quot;1&quot;,&quot;volume&quot;:&quot;26&quot;,&quot;container-title-short&quot;:&quot;&quot;},&quot;isTemporary&quot;:false}]},{&quot;citationID&quot;:&quot;MENDELEY_CITATION_f0cb6dc4-2502-45e1-a109-67a1a3114b6c&quot;,&quot;properties&quot;:{&quot;noteIndex&quot;:0},&quot;isEdited&quot;:false,&quot;manualOverride&quot;:{&quot;isManuallyOverridden&quot;:false,&quot;citeprocText&quot;:&quot;(Chen et al., 2022)&quot;,&quot;manualOverrideText&quot;:&quot;&quot;},&quot;citationTag&quot;:&quot;MENDELEY_CITATION_v3_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&quot;,&quot;citationItems&quot;:[{&quot;id&quot;:&quot;0114b610-1b26-3d57-b7ed-be748815428f&quot;,&quot;itemData&quot;:{&quot;type&quot;:&quot;article-journal&quot;,&quot;id&quot;:&quot;0114b610-1b26-3d57-b7ed-be748815428f&quot;,&quot;title&quot;:&quot;Application of Sustainable Education Innovation in the Integrated Teaching of Theory and Practice Adopted in the Auto Chassis Course&quot;,&quot;author&quot;:[{&quot;family&quot;:&quot;Chen&quot;,&quot;given&quot;:&quot;Tzu-Chia&quot;,&quot;parse-names&quot;:false,&quot;dropping-particle&quot;:&quot;&quot;,&quot;non-dropping-particle&quot;:&quot;&quot;},{&quot;family&quot;:&quot;Yu&quot;,&quot;given&quot;:&quot;Jiuqi&quot;,&quot;parse-names&quot;:false,&quot;dropping-particle&quot;:&quot;&quot;,&quot;non-dropping-particle&quot;:&quot;&quot;},{&quot;family&quot;:&quot;Golmohammadi&quot;,&quot;given&quot;:&quot;Amir-Mohammad&quot;,&quot;parse-names&quot;:false,&quot;dropping-particle&quot;:&quot;&quot;,&quot;non-dropping-particle&quot;:&quot;&quot;}],&quot;container-title&quot;:&quot;Discrete Dynamics in Nature and Society&quot;,&quot;container-title-short&quot;:&quot;Discrete Dyn. Nat. Soc.&quot;,&quot;DOI&quot;:&quot;10.1155/2022/7737231&quot;,&quot;issued&quot;:{&quot;date-parts&quot;:[[2022]]},&quot;issue&quot;:&quot;1&quot;,&quot;volume&quot;:&quot;2022&quot;},&quot;isTemporary&quot;:false}]},{&quot;citationID&quot;:&quot;MENDELEY_CITATION_df9ff0e7-8ff8-44b2-9148-44dd2d0d4125&quot;,&quot;properties&quot;:{&quot;noteIndex&quot;:0},&quot;isEdited&quot;:false,&quot;manualOverride&quot;:{&quot;isManuallyOverridden&quot;:false,&quot;citeprocText&quot;:&quot;(Astuti et al., 2022)&quot;,&quot;manualOverrideText&quot;:&quot;&quot;},&quot;citationTag&quot;:&quot;MENDELEY_CITATION_v3_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&quot;,&quot;citationItems&quot;:[{&quot;id&quot;:&quot;68620366-9438-3581-bf54-42c250745fdc&quot;,&quot;itemData&quot;:{&quot;type&quot;:&quot;article-journal&quot;,&quot;id&quot;:&quot;68620366-9438-3581-bf54-42c250745fdc&quot;,&quot;title&quot;:&quot;The Maturity Levels of the Digital Technology Competence in Vocational Education&quot;,&quot;author&quot;:[{&quot;family&quot;:&quot;Astuti&quot;,&quot;given&quot;:&quot;Melinda&quot;,&quot;parse-names&quot;:false,&quot;dropping-particle&quot;:&quot;&quot;,&quot;non-dropping-particle&quot;:&quot;&quot;},{&quot;family&quot;:&quot;Arifin&quot;,&quot;given&quot;:&quot;Zainul&quot;,&quot;parse-names&quot;:false,&quot;dropping-particle&quot;:&quot;&quot;,&quot;non-dropping-particle&quot;:&quot;&quot;},{&quot;family&quot;:&quot;Nurtanto&quot;,&quot;given&quot;:&quot;Muhammad&quot;,&quot;parse-names&quot;:false,&quot;dropping-particle&quot;:&quot;&quot;,&quot;non-dropping-particle&quot;:&quot;&quot;},{&quot;family&quot;:&quot;Mutohhari&quot;,&quot;given&quot;:&quot;Farid&quot;,&quot;parse-names&quot;:false,&quot;dropping-particle&quot;:&quot;&quot;,&quot;non-dropping-particle&quot;:&quot;&quot;},{&quot;family&quot;:&quot;Warju&quot;,&quot;given&quot;:&quot;Warju&quot;,&quot;parse-names&quot;:false,&quot;dropping-particle&quot;:&quot;&quot;,&quot;non-dropping-particle&quot;:&quot;&quot;}],&quot;container-title&quot;:&quot;International Journal of Evaluation and Research in Education (Ijere)&quot;,&quot;DOI&quot;:&quot;10.11591/ijere.v11i2.22258&quot;,&quot;issued&quot;:{&quot;date-parts&quot;:[[2022]]},&quot;page&quot;:&quot;596&quot;,&quot;issue&quot;:&quot;2&quot;,&quot;volume&quot;:&quot;11&quot;,&quot;container-title-short&quot;:&quot;&quot;},&quot;isTemporary&quot;:false}]},{&quot;citationID&quot;:&quot;MENDELEY_CITATION_e7a67465-a049-4a58-b700-95e174cc22be&quot;,&quot;properties&quot;:{&quot;noteIndex&quot;:0},&quot;isEdited&quot;:false,&quot;manualOverride&quot;:{&quot;isManuallyOverridden&quot;:false,&quot;citeprocText&quot;:&quot;(Elbarrad &amp;#38; Belassi, 2023)&quot;,&quot;manualOverrideText&quot;:&quot;&quot;},&quot;citationTag&quot;:&quot;MENDELEY_CITATION_v3_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&quot;,&quot;citationItems&quot;:[{&quot;id&quot;:&quot;dc92f4e6-b7c4-3beb-9501-99377d66a405&quot;,&quot;itemData&quot;:{&quot;type&quot;:&quot;article-journal&quot;,&quot;id&quot;:&quot;dc92f4e6-b7c4-3beb-9501-99377d66a405&quot;,&quot;title&quot;:&quot;Chartered Professional Accountant's Competencies: The Synergy Between Accounting Education and Employers' Needs—evidence From Alberta&quot;,&quot;author&quot;:[{&quot;family&quot;:&quot;Elbarrad&quot;,&quot;given&quot;:&quot;Sherif S&quot;,&quot;parse-names&quot;:false,&quot;dropping-particle&quot;:&quot;&quot;,&quot;non-dropping-particle&quot;:&quot;&quot;},{&quot;family&quot;:&quot;Belassi&quot;,&quot;given&quot;:&quot;Walid&quot;,&quot;parse-names&quot;:false,&quot;dropping-particle&quot;:&quot;&quot;,&quot;non-dropping-particle&quot;:&quot;&quot;}],&quot;container-title&quot;:&quot;Higher Education Skills and Work-Based Learning&quot;,&quot;DOI&quot;:&quot;10.1108/heswbl-09-2022-0183&quot;,&quot;issued&quot;:{&quot;date-parts&quot;:[[2023]]},&quot;page&quot;:&quot;423-442&quot;,&quot;issue&quot;:&quot;2&quot;,&quot;volume&quot;:&quot;13&quot;,&quot;container-title-short&quot;:&quot;&quot;},&quot;isTemporary&quot;:false}]},{&quot;citationID&quot;:&quot;MENDELEY_CITATION_86ad23ad-062f-4898-a734-f79778c65d10&quot;,&quot;properties&quot;:{&quot;noteIndex&quot;:0},&quot;isEdited&quot;:false,&quot;manualOverride&quot;:{&quot;isManuallyOverridden&quot;:false,&quot;citeprocText&quot;:&quot;(Ma et al., 2022)&quot;,&quot;manualOverrideText&quot;:&quot;&quot;},&quot;citationTag&quot;:&quot;MENDELEY_CITATION_v3_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&quot;,&quot;citationItems&quot;:[{&quot;id&quot;:&quot;65b287ad-1549-3284-881a-f14e22774c49&quot;,&quot;itemData&quot;:{&quot;type&quot;:&quot;article-journal&quot;,&quot;id&quot;:&quot;65b287ad-1549-3284-881a-f14e22774c49&quot;,&quot;title&quot;:&quot;Magneto-Optical Imaging of Arbitrarily Distributed Defects in Welds Under Combined Magnetic Field&quot;,&quot;author&quot;:[{&quot;family&quot;:&quot;Ma&quot;,&quot;given&quot;:&quot;Nvjie&quot;,&quot;parse-names&quot;:false,&quot;dropping-particle&quot;:&quot;&quot;,&quot;non-dropping-particle&quot;:&quot;&quot;},{&quot;family&quot;:&quot;Gao&quot;,&quot;given&quot;:&quot;Xiangdong&quot;,&quot;parse-names&quot;:false,&quot;dropping-particle&quot;:&quot;&quot;,&quot;non-dropping-particle&quot;:&quot;&quot;},{&quot;family&quot;:&quot;Tian&quot;,&quot;given&quot;:&quot;Meng&quot;,&quot;parse-names&quot;:false,&quot;dropping-particle&quot;:&quot;&quot;,&quot;non-dropping-particle&quot;:&quot;&quot;},{&quot;family&quot;:&quot;Wang&quot;,&quot;given&quot;:&quot;Congyi&quot;,&quot;parse-names&quot;:false,&quot;dropping-particle&quot;:&quot;&quot;,&quot;non-dropping-particle&quot;:&quot;&quot;},{&quot;family&quot;:&quot;Zhang&quot;,&quot;given&quot;:&quot;Yanxi&quot;,&quot;parse-names&quot;:false,&quot;dropping-particle&quot;:&quot;&quot;,&quot;non-dropping-particle&quot;:&quot;&quot;},{&quot;family&quot;:&quot;Gao&quot;,&quot;given&quot;:&quot;Perry P&quot;,&quot;parse-names&quot;:false,&quot;dropping-particle&quot;:&quot;&quot;,&quot;non-dropping-particle&quot;:&quot;&quot;}],&quot;container-title&quot;:&quot;Metals&quot;,&quot;container-title-short&quot;:&quot;Metals (Basel).&quot;,&quot;DOI&quot;:&quot;10.3390/met12061055&quot;,&quot;issued&quot;:{&quot;date-parts&quot;:[[2022]]},&quot;page&quot;:&quot;1055&quot;,&quot;issue&quot;:&quot;6&quot;,&quot;volume&quot;:&quot;12&quot;},&quot;isTemporary&quot;:false}]},{&quot;citationID&quot;:&quot;MENDELEY_CITATION_d775db9d-763b-4ec5-b601-dec9a9170fc6&quot;,&quot;properties&quot;:{&quot;noteIndex&quot;:0},&quot;isEdited&quot;:false,&quot;manualOverride&quot;:{&quot;isManuallyOverridden&quot;:false,&quot;citeprocText&quot;:&quot;(Liu et al., 2022; Singh et al., 2022)&quot;,&quot;manualOverrideText&quot;:&quot;&quot;},&quot;citationTag&quot;:&quot;MENDELEY_CITATION_v3_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&quot;,&quot;citationItems&quot;:[{&quot;id&quot;:&quot;5ccee1cc-2abe-3220-b7cc-3e8892f1c367&quot;,&quot;itemData&quot;:{&quot;type&quot;:&quot;article-journal&quot;,&quot;id&quot;:&quot;5ccee1cc-2abe-3220-b7cc-3e8892f1c367&quot;,&quot;title&quot;:&quot;Key Technology of Intelligentized Welding Manufacturing and Systems Based on the Internet of Things and Multi-Agent&quot;,&quot;author&quot;:[{&quot;family&quot;:&quot;Liu&quot;,&quot;given&quot;:&quot;Qiang&quot;,&quot;parse-names&quot;:false,&quot;dropping-particle&quot;:&quot;&quot;,&quot;non-dropping-particle&quot;:&quot;&quot;},{&quot;family&quot;:&quot;Chen&quot;,&quot;given&quot;:&quot;Chao&quot;,&quot;parse-names&quot;:false,&quot;dropping-particle&quot;:&quot;&quot;,&quot;non-dropping-particle&quot;:&quot;&quot;},{&quot;family&quot;:&quot;Chen&quot;,&quot;given&quot;:&quot;Shanben&quot;,&quot;parse-names&quot;:false,&quot;dropping-particle&quot;:&quot;&quot;,&quot;non-dropping-particle&quot;:&quot;&quot;}],&quot;container-title&quot;:&quot;Journal of Manufacturing and Materials Processing&quot;,&quot;DOI&quot;:&quot;10.3390/jmmp6060135&quot;,&quot;issued&quot;:{&quot;date-parts&quot;:[[2022]]},&quot;page&quot;:&quot;135&quot;,&quot;issue&quot;:&quot;6&quot;,&quot;volume&quot;:&quot;6&quot;,&quot;container-title-short&quot;:&quot;&quot;},&quot;isTemporary&quot;:false},{&quot;id&quot;:&quot;270047f1-7b84-3a0d-98a2-f56574577bf9&quot;,&quot;itemData&quot;:{&quot;type&quot;:&quot;article-journal&quot;,&quot;id&quot;:&quot;270047f1-7b84-3a0d-98a2-f56574577bf9&quot;,&quot;title&quot;:&quot;GAN-Based Image Dehazing for Intelligent Weld Shape Classification and Tracing Using Deep Learning&quot;,&quot;author&quot;:[{&quot;family&quot;:&quot;Singh&quot;,&quot;given&quot;:&quot;Abhilasha&quot;,&quot;parse-names&quot;:false,&quot;dropping-particle&quot;:&quot;&quot;,&quot;non-dropping-particle&quot;:&quot;&quot;},{&quot;family&quot;:&quot;Kalaichelvi&quot;,&quot;given&quot;:&quot;V&quot;,&quot;parse-names&quot;:false,&quot;dropping-particle&quot;:&quot;&quot;,&quot;non-dropping-particle&quot;:&quot;&quot;},{&quot;family&quot;:&quot;DSouza&quot;,&quot;given&quot;:&quot;Ashlyn S&quot;,&quot;parse-names&quot;:false,&quot;dropping-particle&quot;:&quot;&quot;,&quot;non-dropping-particle&quot;:&quot;&quot;},{&quot;family&quot;:&quot;Karthikeyan&quot;,&quot;given&quot;:&quot;R&quot;,&quot;parse-names&quot;:false,&quot;dropping-particle&quot;:&quot;&quot;,&quot;non-dropping-particle&quot;:&quot;&quot;}],&quot;container-title&quot;:&quot;Applied Sciences&quot;,&quot;DOI&quot;:&quot;10.3390/app12146860&quot;,&quot;issued&quot;:{&quot;date-parts&quot;:[[2022]]},&quot;page&quot;:&quot;6860&quot;,&quot;issue&quot;:&quot;14&quot;,&quot;volume&quot;:&quot;12&quot;,&quot;container-title-short&quot;:&quot;&quot;},&quot;isTemporary&quot;:false}]},{&quot;citationID&quot;:&quot;MENDELEY_CITATION_afc30919-1176-41ff-b724-6628a13d62b3&quot;,&quot;properties&quot;:{&quot;noteIndex&quot;:0},&quot;isEdited&quot;:false,&quot;manualOverride&quot;:{&quot;isManuallyOverridden&quot;:false,&quot;citeprocText&quot;:&quot;(Vilalta-perdomo et al., 2022)&quot;,&quot;manualOverrideText&quot;:&quot;&quot;},&quot;citationTag&quot;:&quot;MENDELEY_CITATION_v3_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&quot;,&quot;citationItems&quot;:[{&quot;id&quot;:&quot;cbb9c0f0-05bc-3d4e-9b25-703b0382f098&quot;,&quot;itemData&quot;:{&quot;type&quot;:&quot;article-journal&quot;,&quot;id&quot;:&quot;cbb9c0f0-05bc-3d4e-9b25-703b0382f098&quot;,&quot;title&quot;:&quot;Integrating Industry 4.0 in Higher Education Using Challenge-Based Learning: An Intervention in Operations Management&quot;,&quot;author&quot;:[{&quot;family&quot;:&quot;Vilalta-perdomo&quot;,&quot;given&quot;:&quot;Eliseo L&quot;,&quot;parse-names&quot;:false,&quot;dropping-particle&quot;:&quot;&quot;,&quot;non-dropping-particle&quot;:&quot;&quot;},{&quot;family&quot;:&quot;Michel‐Villarreal&quot;,&quot;given&quot;:&quot;Rosario&quot;,&quot;parse-names&quot;:false,&quot;dropping-particle&quot;:&quot;&quot;,&quot;non-dropping-particle&quot;:&quot;&quot;},{&quot;family&quot;:&quot;Thierry-Aguilera&quot;,&quot;given&quot;:&quot;Ricardo&quot;,&quot;parse-names&quot;:false,&quot;dropping-particle&quot;:&quot;&quot;,&quot;non-dropping-particle&quot;:&quot;&quot;}],&quot;container-title&quot;:&quot;Education Sciences&quot;,&quot;container-title-short&quot;:&quot;Educ. Sci. (Basel).&quot;,&quot;DOI&quot;:&quot;10.3390/educsci12100663&quot;,&quot;issued&quot;:{&quot;date-parts&quot;:[[2022]]},&quot;page&quot;:&quot;663&quot;,&quot;issue&quot;:&quot;10&quot;,&quot;volume&quot;:&quot;12&quot;},&quot;isTemporary&quot;:false}]},{&quot;citationID&quot;:&quot;MENDELEY_CITATION_82409bb2-21b5-47e1-ab10-3835e0994edf&quot;,&quot;properties&quot;:{&quot;noteIndex&quot;:0},&quot;isEdited&quot;:false,&quot;manualOverride&quot;:{&quot;isManuallyOverridden&quot;:false,&quot;citeprocText&quot;:&quot;(Elbarrad &amp;#38; Belassi, 2023)&quot;,&quot;manualOverrideText&quot;:&quot;&quot;},&quot;citationTag&quot;:&quot;MENDELEY_CITATION_v3_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&quot;,&quot;citationItems&quot;:[{&quot;id&quot;:&quot;dc92f4e6-b7c4-3beb-9501-99377d66a405&quot;,&quot;itemData&quot;:{&quot;type&quot;:&quot;article-journal&quot;,&quot;id&quot;:&quot;dc92f4e6-b7c4-3beb-9501-99377d66a405&quot;,&quot;title&quot;:&quot;Chartered Professional Accountant's Competencies: The Synergy Between Accounting Education and Employers' Needs—evidence From Alberta&quot;,&quot;author&quot;:[{&quot;family&quot;:&quot;Elbarrad&quot;,&quot;given&quot;:&quot;Sherif S&quot;,&quot;parse-names&quot;:false,&quot;dropping-particle&quot;:&quot;&quot;,&quot;non-dropping-particle&quot;:&quot;&quot;},{&quot;family&quot;:&quot;Belassi&quot;,&quot;given&quot;:&quot;Walid&quot;,&quot;parse-names&quot;:false,&quot;dropping-particle&quot;:&quot;&quot;,&quot;non-dropping-particle&quot;:&quot;&quot;}],&quot;container-title&quot;:&quot;Higher Education Skills and Work-Based Learning&quot;,&quot;DOI&quot;:&quot;10.1108/heswbl-09-2022-0183&quot;,&quot;issued&quot;:{&quot;date-parts&quot;:[[2023]]},&quot;page&quot;:&quot;423-442&quot;,&quot;issue&quot;:&quot;2&quot;,&quot;volume&quot;:&quot;13&quot;,&quot;container-title-short&quot;:&quot;&quot;},&quot;isTemporary&quot;:false}]},{&quot;citationID&quot;:&quot;MENDELEY_CITATION_b57b48bb-614c-495c-8cd4-cb84a8e577ac&quot;,&quot;properties&quot;:{&quot;noteIndex&quot;:0},&quot;isEdited&quot;:false,&quot;manualOverride&quot;:{&quot;isManuallyOverridden&quot;:false,&quot;citeprocText&quot;:&quot;(Sunarja &amp;#38; Maharani, 2023)&quot;,&quot;manualOverrideText&quot;:&quot;&quot;},&quot;citationTag&quot;:&quot;MENDELEY_CITATION_v3_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&quot;,&quot;citationItems&quot;:[{&quot;id&quot;:&quot;3091ab9d-bddb-3523-9ce6-9b8c9e0c13ac&quot;,&quot;itemData&quot;:{&quot;type&quot;:&quot;article-journal&quot;,&quot;id&quot;:&quot;3091ab9d-bddb-3523-9ce6-9b8c9e0c13ac&quot;,&quot;title&quot;:&quot;The Implementation of Teaching Factory Through Department Division in Hospitality Skill Programme at Metland Tourism Vocational School&quot;,&quot;author&quot;:[{&quot;family&quot;:&quot;Sunarja&quot;,&quot;given&quot;:&quot;Darmawan&quot;,&quot;parse-names&quot;:false,&quot;dropping-particle&quot;:&quot;&quot;,&quot;non-dropping-particle&quot;:&quot;&quot;},{&quot;family&quot;:&quot;Maharani&quot;,&quot;given&quot;:&quot;Ony D&quot;,&quot;parse-names&quot;:false,&quot;dropping-particle&quot;:&quot;&quot;,&quot;non-dropping-particle&quot;:&quot;&quot;}],&quot;container-title&quot;:&quot;Indonesian Journal of Educational Development (Ijed)&quot;,&quot;DOI&quot;:&quot;10.59672/ijed.v4i2.2684&quot;,&quot;issued&quot;:{&quot;date-parts&quot;:[[2023]]},&quot;page&quot;:&quot;139-149&quot;,&quot;issue&quot;:&quot;2&quot;,&quot;volume&quot;:&quot;4&quot;,&quot;container-title-short&quot;:&quot;&quot;},&quot;isTemporary&quot;:false}]},{&quot;citationID&quot;:&quot;MENDELEY_CITATION_1b52d21e-d5f5-472d-9e30-b3ec0f6fa851&quot;,&quot;properties&quot;:{&quot;noteIndex&quot;:0},&quot;isEdited&quot;:false,&quot;manualOverride&quot;:{&quot;isManuallyOverridden&quot;:false,&quot;citeprocText&quot;:&quot;(Nwogueze et al., 2024)&quot;,&quot;manualOverrideText&quot;:&quot;&quot;},&quot;citationTag&quot;:&quot;MENDELEY_CITATION_v3_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&quot;,&quot;citationItems&quot;:[{&quot;id&quot;:&quot;044cc7e6-4cf4-3849-849e-780eb899f208&quot;,&quot;itemData&quot;:{&quot;type&quot;:&quot;article-journal&quot;,&quot;id&quot;:&quot;044cc7e6-4cf4-3849-849e-780eb899f208&quot;,&quot;title&quot;:&quot;Serum Zinc Levels and Body Composition Variability as Trajectory for Hyperlipidemic and Dyslipidemic Effect Among Welders Exposed to Welding Fumes and Smoking: A Biomarker for Cardiovascular Health&quot;,&quot;author&quot;:[{&quot;family&quot;:&quot;Nwogueze&quot;,&quot;given&quot;:&quot;Bartholomew C&quot;,&quot;parse-names&quot;:false,&quot;dropping-particle&quot;:&quot;&quot;,&quot;non-dropping-particle&quot;:&quot;&quot;},{&quot;family&quot;:&quot;Ofili&quot;,&quot;given&quot;:&quot;Mary I&quot;,&quot;parse-names&quot;:false,&quot;dropping-particle&quot;:&quot;&quot;,&quot;non-dropping-particle&quot;:&quot;&quot;},{&quot;family&quot;:&quot;Anachuna&quot;,&quot;given&quot;:&quot;Kenneth K&quot;,&quot;parse-names&quot;:false,&quot;dropping-particle&quot;:&quot;&quot;,&quot;non-dropping-particle&quot;:&quot;&quot;},{&quot;family&quot;:&quot;Mbah&quot;,&quot;given&quot;:&quot;Alphonsus O&quot;,&quot;parse-names&quot;:false,&quot;dropping-particle&quot;:&quot;&quot;,&quot;non-dropping-particle&quot;:&quot;&quot;}],&quot;container-title&quot;:&quot;Toxicology Reports&quot;,&quot;container-title-short&quot;:&quot;Toxicol. Rep.&quot;,&quot;DOI&quot;:&quot;10.1016/j.toxrep.2024.05.008&quot;,&quot;issued&quot;:{&quot;date-parts&quot;:[[2024]]},&quot;page&quot;:&quot;607-613&quot;,&quot;volume&quot;:&quot;12&quot;},&quot;isTemporary&quot;:false}]},{&quot;citationID&quot;:&quot;MENDELEY_CITATION_a216fa0a-9589-4ab1-84f0-262c273d3528&quot;,&quot;properties&quot;:{&quot;noteIndex&quot;:0},&quot;isEdited&quot;:false,&quot;manualOverride&quot;:{&quot;isManuallyOverridden&quot;:false,&quot;citeprocText&quot;:&quot;(Ismara et al., 2021)&quot;,&quot;manualOverrideText&quot;:&quot;&quot;},&quot;citationTag&quot;:&quot;MENDELEY_CITATION_v3_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&quot;,&quot;citationItems&quot;:[{&quot;id&quot;:&quot;0d06524e-3243-3c27-a406-bf6f12f8593e&quot;,&quot;itemData&quot;:{&quot;type&quot;:&quot;article-journal&quot;,&quot;id&quot;:&quot;0d06524e-3243-3c27-a406-bf6f12f8593e&quot;,&quot;title&quot;:&quot;Ubiquitous Learning in Occupational Health and Safety for Vocational Education&quot;,&quot;author&quot;:[{&quot;family&quot;:&quot;Ismara&quot;,&quot;given&quot;:&quot;K I&quot;,&quot;parse-names&quot;:false,&quot;dropping-particle&quot;:&quot;&quot;,&quot;non-dropping-particle&quot;:&quot;&quot;},{&quot;family&quot;:&quot;Suharjono&quot;,&quot;given&quot;:&quot;Amin&quot;,&quot;parse-names&quot;:false,&quot;dropping-particle&quot;:&quot;&quot;,&quot;non-dropping-particle&quot;:&quot;&quot;},{&quot;family&quot;:&quot;Supriadi&quot;,&quot;given&quot;:&quot;Didi&quot;,&quot;parse-names&quot;:false,&quot;dropping-particle&quot;:&quot;&quot;,&quot;non-dropping-particle&quot;:&quot;&quot;}],&quot;container-title&quot;:&quot;International Journal of Evaluation and Research in Education (Ijere)&quot;,&quot;DOI&quot;:&quot;10.11591/ijere.v10i1.20823&quot;,&quot;issued&quot;:{&quot;date-parts&quot;:[[2021]]},&quot;page&quot;:&quot;285&quot;,&quot;issue&quot;:&quot;1&quot;,&quot;volume&quot;:&quot;10&quot;,&quot;container-title-short&quot;:&quot;&quot;},&quot;isTemporary&quot;:false}]},{&quot;citationID&quot;:&quot;MENDELEY_CITATION_5d63095d-3548-4950-ac2f-c9987b55c969&quot;,&quot;properties&quot;:{&quot;noteIndex&quot;:0},&quot;isEdited&quot;:false,&quot;manualOverride&quot;:{&quot;isManuallyOverridden&quot;:false,&quot;citeprocText&quot;:&quot;(Patalas‐Maliszewska et al., 2021)&quot;,&quot;manualOverrideText&quot;:&quot;&quot;},&quot;citationTag&quot;:&quot;MENDELEY_CITATION_v3_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&quot;,&quot;citationItems&quot;:[{&quot;id&quot;:&quot;de6a5518-df8e-3750-aef0-a7b05e06d7e7&quot;,&quot;itemData&quot;:{&quot;type&quot;:&quot;article-journal&quot;,&quot;id&quot;:&quot;de6a5518-df8e-3750-aef0-a7b05e06d7e7&quot;,&quot;title&quot;:&quot;An Automated Recognition of Work Activity in Industrial Manufacturing Using Convolutional Neural Networks&quot;,&quot;author&quot;:[{&quot;family&quot;:&quot;Patalas‐Maliszewska&quot;,&quot;given&quot;:&quot;Justyna&quot;,&quot;parse-names&quot;:false,&quot;dropping-particle&quot;:&quot;&quot;,&quot;non-dropping-particle&quot;:&quot;&quot;},{&quot;family&quot;:&quot;Halikowski&quot;,&quot;given&quot;:&quot;Daniel&quot;,&quot;parse-names&quot;:false,&quot;dropping-particle&quot;:&quot;&quot;,&quot;non-dropping-particle&quot;:&quot;&quot;},{&quot;family&quot;:&quot;Damaševičius&quot;,&quot;given&quot;:&quot;Robertas&quot;,&quot;parse-names&quot;:false,&quot;dropping-particle&quot;:&quot;&quot;,&quot;non-dropping-particle&quot;:&quot;&quot;}],&quot;container-title&quot;:&quot;Electronics&quot;,&quot;container-title-short&quot;:&quot;Electronics (Basel).&quot;,&quot;DOI&quot;:&quot;10.3390/electronics10232946&quot;,&quot;issued&quot;:{&quot;date-parts&quot;:[[2021]]},&quot;page&quot;:&quot;2946&quot;,&quot;issue&quot;:&quot;23&quot;,&quot;volume&quot;:&quot;10&quot;},&quot;isTemporary&quot;:false}]},{&quot;citationID&quot;:&quot;MENDELEY_CITATION_c8509d2d-7972-4627-a0a8-26ec9c3f859b&quot;,&quot;properties&quot;:{&quot;noteIndex&quot;:0},&quot;isEdited&quot;:false,&quot;manualOverride&quot;:{&quot;isManuallyOverridden&quot;:false,&quot;citeprocText&quot;:&quot;(Srinatriyo et al., 2023)&quot;,&quot;manualOverrideText&quot;:&quot;&quot;},&quot;citationTag&quot;:&quot;MENDELEY_CITATION_v3_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&quot;,&quot;citationItems&quot;:[{&quot;id&quot;:&quot;ae25fc29-7eb9-364f-94ec-4921a9a93cce&quot;,&quot;itemData&quot;:{&quot;type&quot;:&quot;article-journal&quot;,&quot;id&quot;:&quot;ae25fc29-7eb9-364f-94ec-4921a9a93cce&quot;,&quot;title&quot;:&quot;Application of the Problem-Based Learning Model to Improve Students' Understanding of Welding Defect Material&quot;,&quot;author&quot;:[{&quot;family&quot;:&quot;Srinatriyo&quot;,&quot;given&quot;:&quot;Yayan&quot;,&quot;parse-names&quot;:false,&quot;dropping-particle&quot;:&quot;&quot;,&quot;non-dropping-particle&quot;:&quot;&quot;},{&quot;family&quot;:&quot;Suhartadi&quot;,&quot;given&quot;:&quot;Syarif&quot;,&quot;parse-names&quot;:false,&quot;dropping-particle&quot;:&quot;&quot;,&quot;non-dropping-particle&quot;:&quot;&quot;},{&quot;family&quot;:&quot;Yoto&quot;,&quot;given&quot;:&quot;&quot;,&quot;parse-names&quot;:false,&quot;dropping-particle&quot;:&quot;&quot;,&quot;non-dropping-particle&quot;:&quot;&quot;}],&quot;container-title&quot;:&quot;Paedagogia Jurnal Pendidikan&quot;,&quot;DOI&quot;:&quot;10.24239/pdg.vol12.iss2.444&quot;,&quot;issued&quot;:{&quot;date-parts&quot;:[[2023]]},&quot;page&quot;:&quot;431-446&quot;,&quot;issue&quot;:&quot;2&quot;,&quot;volume&quot;:&quot;12&quot;,&quot;container-title-short&quot;:&quot;&quot;},&quot;isTemporary&quot;:false}]},{&quot;citationID&quot;:&quot;MENDELEY_CITATION_b3232e16-0034-45c0-8f95-333fec6ccd6d&quot;,&quot;properties&quot;:{&quot;noteIndex&quot;:0},&quot;isEdited&quot;:false,&quot;manualOverride&quot;:{&quot;isManuallyOverridden&quot;:false,&quot;citeprocText&quot;:&quot;(Ma et al., 2022)&quot;,&quot;manualOverrideText&quot;:&quot;&quot;},&quot;citationTag&quot;:&quot;MENDELEY_CITATION_v3_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&quot;,&quot;citationItems&quot;:[{&quot;id&quot;:&quot;65b287ad-1549-3284-881a-f14e22774c49&quot;,&quot;itemData&quot;:{&quot;type&quot;:&quot;article-journal&quot;,&quot;id&quot;:&quot;65b287ad-1549-3284-881a-f14e22774c49&quot;,&quot;title&quot;:&quot;Magneto-Optical Imaging of Arbitrarily Distributed Defects in Welds Under Combined Magnetic Field&quot;,&quot;author&quot;:[{&quot;family&quot;:&quot;Ma&quot;,&quot;given&quot;:&quot;Nvjie&quot;,&quot;parse-names&quot;:false,&quot;dropping-particle&quot;:&quot;&quot;,&quot;non-dropping-particle&quot;:&quot;&quot;},{&quot;family&quot;:&quot;Gao&quot;,&quot;given&quot;:&quot;Xiangdong&quot;,&quot;parse-names&quot;:false,&quot;dropping-particle&quot;:&quot;&quot;,&quot;non-dropping-particle&quot;:&quot;&quot;},{&quot;family&quot;:&quot;Tian&quot;,&quot;given&quot;:&quot;Meng&quot;,&quot;parse-names&quot;:false,&quot;dropping-particle&quot;:&quot;&quot;,&quot;non-dropping-particle&quot;:&quot;&quot;},{&quot;family&quot;:&quot;Wang&quot;,&quot;given&quot;:&quot;Congyi&quot;,&quot;parse-names&quot;:false,&quot;dropping-particle&quot;:&quot;&quot;,&quot;non-dropping-particle&quot;:&quot;&quot;},{&quot;family&quot;:&quot;Zhang&quot;,&quot;given&quot;:&quot;Yanxi&quot;,&quot;parse-names&quot;:false,&quot;dropping-particle&quot;:&quot;&quot;,&quot;non-dropping-particle&quot;:&quot;&quot;},{&quot;family&quot;:&quot;Gao&quot;,&quot;given&quot;:&quot;Perry P&quot;,&quot;parse-names&quot;:false,&quot;dropping-particle&quot;:&quot;&quot;,&quot;non-dropping-particle&quot;:&quot;&quot;}],&quot;container-title&quot;:&quot;Metals&quot;,&quot;container-title-short&quot;:&quot;Metals (Basel).&quot;,&quot;DOI&quot;:&quot;10.3390/met12061055&quot;,&quot;issued&quot;:{&quot;date-parts&quot;:[[2022]]},&quot;page&quot;:&quot;1055&quot;,&quot;issue&quot;:&quot;6&quot;,&quot;volume&quot;:&quot;12&quot;},&quot;isTemporary&quot;:false}]}]"/>
    <we:property name="MENDELEY_CITATIONS_STYLE" value="{&quot;id&quot;:&quot;https://www.zotero.org/styles/apa&quot;,&quot;title&quot;:&quot;APA Style 7th edition&quot;,&quot;format&quot;:&quot;author-date&quot;,&quot;defaultLocale&quot;:null,&quot;isLocaleCodeValid&quot;:true}"/>
    <we:property name="MENDELEY_BIBLIOGRAPHY_IS_DIRTY" value="false"/>
    <we:property name="MENDELEY_BIBLIOGRAPHY_LAST_MODIFIED" value="1778296401396"/>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Was13</b:Tag>
    <b:SourceType>JournalArticle</b:SourceType>
    <b:Guid>{5A979D16-16FE-45E7-9E48-3CBD22F9C9B2}</b:Guid>
    <b:Author>
      <b:Author>
        <b:NameList>
          <b:Person>
            <b:Last>Wasino</b:Last>
          </b:Person>
        </b:NameList>
      </b:Author>
    </b:Author>
    <b:Title>Indonesia: From Pluralism to Multiculturalism</b:Title>
    <b:JournalName>Paramita</b:JournalName>
    <b:Year>2013</b:Year>
    <b:Pages>148-155</b:Pages>
    <b:Volume>23</b:Volume>
    <b:Issue>2</b:Issue>
    <b:RefOrder>1</b:RefOrder>
  </b:Source>
  <b:Source>
    <b:Tag>And03</b:Tag>
    <b:SourceType>Book</b:SourceType>
    <b:Guid>{B3BE0182-DFD4-40E5-8224-C764D20F66C9}</b:Guid>
    <b:Author>
      <b:Author>
        <b:NameList>
          <b:Person>
            <b:Last>Purwasito</b:Last>
            <b:First>Andrik</b:First>
          </b:Person>
        </b:NameList>
      </b:Author>
    </b:Author>
    <b:Title>Komunikas Multikultural</b:Title>
    <b:Year>2003</b:Year>
    <b:City>Surakarta</b:City>
    <b:Publisher>Muhammadiyah University Press</b:Publisher>
    <b:RefOrder>2</b:RefOrder>
  </b:Source>
  <b:Source>
    <b:Tag>Mut151</b:Tag>
    <b:SourceType>JournalArticle</b:SourceType>
    <b:Guid>{5375265F-CE99-45C8-A7D8-A12587E5E238}</b:Guid>
    <b:Author>
      <b:Author>
        <b:NameList>
          <b:Person>
            <b:Last>Muthoifin</b:Last>
          </b:Person>
        </b:NameList>
      </b:Author>
    </b:Author>
    <b:Title>Pemikiran Pendidikan Multikultural Ki Hadjar Dewantara</b:Title>
    <b:JournalName>Intizar</b:JournalName>
    <b:Year>2015</b:Year>
    <b:Pages>299-320</b:Pages>
    <b:Volume>21</b:Volume>
    <b:Issue>2</b:Issue>
    <b:RefOrder>3</b:RefOrder>
  </b:Source>
  <b:Source>
    <b:Tag>Rum14</b:Tag>
    <b:SourceType>JournalArticle</b:SourceType>
    <b:Guid>{BD86C509-6397-4174-890C-D888498B3A1D}</b:Guid>
    <b:Author>
      <b:Author>
        <b:NameList>
          <b:Person>
            <b:Last>Rumapea</b:Last>
            <b:First>Murni</b:First>
            <b:Middle>Eva Marlina</b:Middle>
          </b:Person>
        </b:NameList>
      </b:Author>
    </b:Author>
    <b:Title>Makna Pendidikan Multikultural bagi Siswa</b:Title>
    <b:JournalName>Jurnal Pendidikan Ilmu-Ilmu Sosial</b:JournalName>
    <b:Year>2014</b:Year>
    <b:Pages>13-20</b:Pages>
    <b:Volume>6</b:Volume>
    <b:Issue>2</b:Issue>
    <b:RefOrder>4</b:RefOrder>
  </b:Source>
  <b:Source>
    <b:Tag>Ban07</b:Tag>
    <b:SourceType>Book</b:SourceType>
    <b:Guid>{2653B2A5-6024-4050-A545-53CCA21650C7}</b:Guid>
    <b:Author>
      <b:Author>
        <b:NameList>
          <b:Person>
            <b:Last>Banks</b:Last>
            <b:First>James</b:First>
            <b:Middle>Albert</b:Middle>
          </b:Person>
        </b:NameList>
      </b:Author>
    </b:Author>
    <b:Title>Education Citizens in A Multicultural Society</b:Title>
    <b:Year>2007</b:Year>
    <b:City>New York</b:City>
    <b:Publisher>Teachers Collage Press</b:Publisher>
    <b:Edition>2nd</b:Edition>
    <b:RefOrder>5</b:RefOrder>
  </b:Source>
  <b:Source>
    <b:Tag>Mas11</b:Tag>
    <b:SourceType>JournalArticle</b:SourceType>
    <b:Guid>{A461A45F-B5A0-4ABB-9F4A-710CC383F356}</b:Guid>
    <b:Author>
      <b:Author>
        <b:NameList>
          <b:Person>
            <b:Last>Masunah</b:Last>
            <b:First>Juju</b:First>
          </b:Person>
        </b:NameList>
      </b:Author>
    </b:Author>
    <b:Title>Konsep dan Praktik Pendidikan Multikultural di Amerika Serikat dan Indonesia</b:Title>
    <b:JournalName>Jurnal Ilmu Pendidikan</b:JournalName>
    <b:Year>2011</b:Year>
    <b:Pages>298-306</b:Pages>
    <b:Volume>17</b:Volume>
    <b:Issue>4</b:Issue>
    <b:RefOrder>6</b:RefOrder>
  </b:Source>
  <b:Source>
    <b:Tag>Ari12</b:Tag>
    <b:SourceType>JournalArticle</b:SourceType>
    <b:Guid>{B90FB9A8-D642-4978-8A87-49260129EC88}</b:Guid>
    <b:Author>
      <b:Author>
        <b:NameList>
          <b:Person>
            <b:Last>Arifin</b:Last>
            <b:First>Akhmad</b:First>
            <b:Middle>Hidayatullah Al</b:Middle>
          </b:Person>
        </b:NameList>
      </b:Author>
    </b:Author>
    <b:Title>Implementasi Pendidikan Multikultural dalam Praksis Pendidikan di Indonesia</b:Title>
    <b:JournalName>Jurnal Pembangunan Pendidikan: Fondasi dan Aplikasi</b:JournalName>
    <b:Year>2012</b:Year>
    <b:Pages>72-82</b:Pages>
    <b:Volume>1</b:Volume>
    <b:Issue>1</b:Issue>
    <b:RefOrder>7</b:RefOrder>
  </b:Source>
  <b:Source>
    <b:Tag>Muh13</b:Tag>
    <b:SourceType>JournalArticle</b:SourceType>
    <b:Guid>{B8DCA628-A507-48FD-BCE1-A8D307CF6978}</b:Guid>
    <b:Title>Pendidikan Multikultural Bagi Masyarakat Indonesia Yang Majemuk</b:Title>
    <b:Year>2013</b:Year>
    <b:Author>
      <b:Author>
        <b:NameList>
          <b:Person>
            <b:Last>Kamal</b:Last>
            <b:First>Muhiddinur</b:First>
          </b:Person>
        </b:NameList>
      </b:Author>
    </b:Author>
    <b:JournalName>Jurnal Al-Ta'lim</b:JournalName>
    <b:Pages>451-458</b:Pages>
    <b:RefOrder>8</b:RefOrder>
  </b:Source>
  <b:Source>
    <b:Tag>Man10</b:Tag>
    <b:SourceType>JournalArticle</b:SourceType>
    <b:Guid>{3724CD1D-DC94-4146-ABF0-FF7B9D339BA8}</b:Guid>
    <b:Author>
      <b:Author>
        <b:NameList>
          <b:Person>
            <b:Last>Mania</b:Last>
            <b:First>Sitti</b:First>
          </b:Person>
        </b:NameList>
      </b:Author>
    </b:Author>
    <b:Title>Implementasi Pendidikan Multikultural dalam Pembelajaran</b:Title>
    <b:JournalName>Lentera Pendidikan</b:JournalName>
    <b:Year>2010</b:Year>
    <b:Pages>78-91</b:Pages>
    <b:Volume>13</b:Volume>
    <b:Issue>1</b:Issue>
    <b:RefOrder>9</b:RefOrder>
  </b:Source>
  <b:Source>
    <b:Tag>Sut17</b:Tag>
    <b:SourceType>JournalArticle</b:SourceType>
    <b:Guid>{8F47E147-8802-48C5-BCD7-3B55D79D6909}</b:Guid>
    <b:Title>Implementasi Kurikulum Multikultural</b:Title>
    <b:Year>2017</b:Year>
    <b:Author>
      <b:Author>
        <b:NameList>
          <b:Person>
            <b:Last>Sutjipto</b:Last>
          </b:Person>
        </b:NameList>
      </b:Author>
    </b:Author>
    <b:JournalName>Jurnal Pendidikan dan Kebudayaan</b:JournalName>
    <b:Pages>1-21</b:Pages>
    <b:Volume>2</b:Volume>
    <b:Issue>1</b:Issue>
    <b:RefOrder>10</b:RefOrder>
  </b:Source>
  <b:Source>
    <b:Tag>Jau17</b:Tag>
    <b:SourceType>JournalArticle</b:SourceType>
    <b:Guid>{6A7251AA-8A49-4FC8-8E6E-F57D8EE40285}</b:Guid>
    <b:Title>Taksonomi Bloom dan Implementasi Kurikulum Berbasis Multikultural</b:Title>
    <b:Year>2017</b:Year>
    <b:Author>
      <b:Author>
        <b:NameList>
          <b:Person>
            <b:Last>Jauhari</b:Last>
            <b:First>Moh</b:First>
            <b:Middle>Irmawan</b:Middle>
          </b:Person>
        </b:NameList>
      </b:Author>
    </b:Author>
    <b:JournalName>JALIE: Journal of Applied Linguistics and Islamic Education</b:JournalName>
    <b:Pages>234-253</b:Pages>
    <b:Volume>1</b:Volume>
    <b:Issue>1</b:Issue>
    <b:RefOrder>11</b:RefOrder>
  </b:Source>
  <b:Source>
    <b:Tag>Fir16</b:Tag>
    <b:SourceType>JournalArticle</b:SourceType>
    <b:Guid>{5BECF08E-46E7-43BA-B855-2FB4BBF3F6FE}</b:Guid>
    <b:Title>Pengembangan Buku Teks Tematik Berbasis Kontekstual</b:Title>
    <b:Year>2016</b:Year>
    <b:Author>
      <b:Author>
        <b:NameList>
          <b:Person>
            <b:Last>Su'udiah</b:Last>
            <b:First>Firdaus</b:First>
          </b:Person>
        </b:NameList>
      </b:Author>
    </b:Author>
    <b:JournalName>Jurnal Pendidikan</b:JournalName>
    <b:Pages>1744-1748</b:Pages>
    <b:RefOrder>12</b:RefOrder>
  </b:Source>
  <b:Source>
    <b:Tag>Tri071</b:Tag>
    <b:SourceType>Book</b:SourceType>
    <b:Guid>{4A823FF0-F305-4C5F-98F1-840DF06FC01B}</b:Guid>
    <b:Author>
      <b:Author>
        <b:NameList>
          <b:Person>
            <b:Last>Trianto</b:Last>
          </b:Person>
        </b:NameList>
      </b:Author>
    </b:Author>
    <b:Title>Model Pembelajaran Terpadu dalam Teori dan Praktek</b:Title>
    <b:Year>2007</b:Year>
    <b:City>Jakarta</b:City>
    <b:Publisher>Prestasi Pustaka Publisher</b:Publisher>
    <b:RefOrder>13</b:RefOrder>
  </b:Source>
  <b:Source>
    <b:Tag>Sho16</b:Tag>
    <b:SourceType>Book</b:SourceType>
    <b:Guid>{B92F0B34-871F-4A0E-9144-606D011E5C07}</b:Guid>
    <b:Author>
      <b:Author>
        <b:NameList>
          <b:Person>
            <b:Last>Shobirin</b:Last>
            <b:First>Ma'as</b:First>
          </b:Person>
        </b:NameList>
      </b:Author>
    </b:Author>
    <b:Title>Konsep Implementasi Kurikulum 2013 di Sekolah Dasar</b:Title>
    <b:Year>2016</b:Year>
    <b:City>Yogyakarta</b:City>
    <b:Publisher>Deepublish</b:Publisher>
    <b:RefOrder>14</b:RefOrder>
  </b:Source>
  <b:Source>
    <b:Tag>Int18</b:Tag>
    <b:SourceType>JournalArticle</b:SourceType>
    <b:Guid>{5624E3B4-EE47-4174-8860-9391DDABC402}</b:Guid>
    <b:Title>Pengembangan Instrumen Sikap Sosial Tematik Siswa SD Kelas IV</b:Title>
    <b:Year>2018</b:Year>
    <b:Author>
      <b:Author>
        <b:NameList>
          <b:Person>
            <b:Last>Intan Chandra</b:Last>
            <b:First>Naniek</b:First>
            <b:Middle>Sulistya, Tego Prasetyo</b:Middle>
          </b:Person>
        </b:NameList>
      </b:Author>
    </b:Author>
    <b:JournalName>Jurnal Ilmiah Sekolah Dasar</b:JournalName>
    <b:Pages>455-461</b:Pages>
    <b:Volume>2</b:Volume>
    <b:Issue>4</b:Issue>
    <b:RefOrder>15</b:RefOrder>
  </b:Source>
  <b:Source>
    <b:Tag>Rus111</b:Tag>
    <b:SourceType>Book</b:SourceType>
    <b:Guid>{46737EFA-C198-4217-9E2D-4B77B982DC6A}</b:Guid>
    <b:Title>Model - Model Pembelajaran</b:Title>
    <b:Year>2011</b:Year>
    <b:Author>
      <b:Author>
        <b:NameList>
          <b:Person>
            <b:Last>Rusman</b:Last>
          </b:Person>
        </b:NameList>
      </b:Author>
    </b:Author>
    <b:City>Jakarta</b:City>
    <b:Publisher>Rajawali Pers</b:Publisher>
    <b:RefOrder>16</b:RefOrder>
  </b:Source>
  <b:Source>
    <b:Tag>ElF19</b:Tag>
    <b:SourceType>JournalArticle</b:SourceType>
    <b:Guid>{A1D261DB-00A0-41E8-A51E-26DF580436CB}</b:Guid>
    <b:Title>Analisis Gerakan Literasi Sekolah Pada Pembelajaran Tematik</b:Title>
    <b:Year>2019</b:Year>
    <b:Author>
      <b:Author>
        <b:NameList>
          <b:Person>
            <b:Last>Anindya</b:Last>
            <b:First>El</b:First>
            <b:Middle>Firsa Yunita</b:Middle>
          </b:Person>
        </b:NameList>
      </b:Author>
    </b:Author>
    <b:JournalName>Jurnal Ilmiah Sekolah Dasar</b:JournalName>
    <b:Pages>238-245</b:Pages>
    <b:RefOrder>17</b:RefOrder>
  </b:Source>
  <b:Source>
    <b:Tag>Zen181</b:Tag>
    <b:SourceType>JournalArticle</b:SourceType>
    <b:Guid>{7BD73FFB-E4CB-4C7D-8D1D-15C7AB7168FB}</b:Guid>
    <b:Title>E-Book Berbasis Mobile Learning</b:Title>
    <b:Year>2018</b:Year>
    <b:Author>
      <b:Author>
        <b:NameList>
          <b:Person>
            <b:Last>Martha</b:Last>
            <b:First>Zeny</b:First>
            <b:Middle>Dwi</b:Middle>
          </b:Person>
        </b:NameList>
      </b:Author>
    </b:Author>
    <b:JournalName>Jurnal Teknologi Pendidikan</b:JournalName>
    <b:Pages>109-114</b:Pages>
    <b:RefOrder>18</b:RefOrder>
  </b:Source>
  <b:Source>
    <b:Tag>Gal18</b:Tag>
    <b:SourceType>JournalArticle</b:SourceType>
    <b:Guid>{856A7338-4532-4C43-A097-1F6908B03D6B}</b:Guid>
    <b:Author>
      <b:Author>
        <b:NameList>
          <b:Person>
            <b:Last>Puspita</b:Last>
            <b:First>Galuh</b:First>
            <b:Middle>Ayu</b:Middle>
          </b:Person>
        </b:NameList>
      </b:Author>
    </b:Author>
    <b:Title>Pergeseran Budaya Baca dan Perkembangan Industri Penerbitan Buku di Indonesia: Studi Kasus Pebaca E-book Melalui Aplikasi Ipusnas</b:Title>
    <b:JournalName>Jurnal Kajian Pustakaan dan Informasi</b:JournalName>
    <b:Year>2018</b:Year>
    <b:Pages>13-19</b:Pages>
    <b:RefOrder>19</b:RefOrder>
  </b:Source>
  <b:Source>
    <b:Tag>Rin18</b:Tag>
    <b:SourceType>JournalArticle</b:SourceType>
    <b:Guid>{82ACA89A-6B37-4114-8092-CD4C748BDF49}</b:Guid>
    <b:Title>E-book Interakitf</b:Title>
    <b:Year>2018</b:Year>
    <b:Author>
      <b:Author>
        <b:NameList>
          <b:Person>
            <b:Last>Rina Tiya Lestari</b:Last>
            <b:First>Eka</b:First>
            <b:Middle>Pramono Adi, Yerry Soepriyanto</b:Middle>
          </b:Person>
        </b:NameList>
      </b:Author>
    </b:Author>
    <b:JournalName>Jurnal Kajian Teknologi Pendidikan</b:JournalName>
    <b:Pages>71-76</b:Pages>
    <b:Volume>1</b:Volume>
    <b:Issue>1</b:Issue>
    <b:RefOrder>20</b:RefOrder>
  </b:Source>
  <b:Source>
    <b:Tag>Ros17</b:Tag>
    <b:SourceType>JournalArticle</b:SourceType>
    <b:Guid>{FBE46311-B068-4D99-BAD8-ED1E994E8752}</b:Guid>
    <b:Author>
      <b:Author>
        <b:NameList>
          <b:Person>
            <b:Last>Rosida</b:Last>
            <b:First>Noor</b:First>
            <b:Middle>Fadiawati, Tri Jalmo</b:Middle>
          </b:Person>
        </b:NameList>
      </b:Author>
    </b:Author>
    <b:Title>Efektivitas Penggunaan Bahan Ajar E-Book Interaktif dalam Menumbuhkan Keterampilan Berpikir Kritis</b:Title>
    <b:JournalName>Junal Pembelajaran Fisika</b:JournalName>
    <b:Year>2017</b:Year>
    <b:Pages>35-45</b:Pages>
    <b:Volume>5</b:Volume>
    <b:Issue>1</b:Issue>
    <b:RefOrder>21</b:RefOrder>
  </b:Source>
  <b:Source>
    <b:Tag>Rah02</b:Tag>
    <b:SourceType>InternetSite</b:SourceType>
    <b:Guid>{7E302F06-F1D0-4DD3-8B4F-52652EABA75C}</b:Guid>
    <b:Title>Rancangan ABC E-Book</b:Title>
    <b:Year>2002</b:Year>
    <b:Author>
      <b:Author>
        <b:NameList>
          <b:Person>
            <b:Last>Rahardjo</b:Last>
            <b:First>Budi</b:First>
          </b:Person>
        </b:NameList>
      </b:Author>
    </b:Author>
    <b:InternetSiteTitle>Budi Insan</b:InternetSiteTitle>
    <b:Month>May</b:Month>
    <b:Day>21</b:Day>
    <b:URL>http://budi.insan.co.id/articles/ebook.pdf.</b:URL>
    <b:RefOrder>22</b:RefOrder>
  </b:Source>
  <b:Source>
    <b:Tag>Syi19</b:Tag>
    <b:SourceType>JournalArticle</b:SourceType>
    <b:Guid>{2A7BD574-DADD-44E5-A5F8-778346AD06B0}</b:Guid>
    <b:Author>
      <b:Author>
        <b:NameList>
          <b:Person>
            <b:Last>Syifa</b:Last>
            <b:First>Layyinatus</b:First>
          </b:Person>
        </b:NameList>
      </b:Author>
    </b:Author>
    <b:Title>Dampak Penggunaan Gatget Terhadap Perkambangan Psikologi Pada Anak Sekolah Dasar</b:Title>
    <b:JournalName>Jurnal Ilmiah Sekolah Dasar</b:JournalName>
    <b:Year>2019</b:Year>
    <b:Pages>538-544</b:Pages>
    <b:Volume>3</b:Volume>
    <b:Issue>4</b:Issue>
    <b:RefOrder>23</b:RefOrder>
  </b:Source>
  <b:Source>
    <b:Tag>HAR04</b:Tag>
    <b:SourceType>Book</b:SourceType>
    <b:Guid>{1292D03A-EDF9-44D8-A48B-99A04A4F7FC6}</b:Guid>
    <b:Author>
      <b:Author>
        <b:NameList>
          <b:Person>
            <b:Last>Tilaar</b:Last>
            <b:First>H.A.R</b:First>
          </b:Person>
        </b:NameList>
      </b:Author>
    </b:Author>
    <b:Title>Multikulturalisme</b:Title>
    <b:Year>2004</b:Year>
    <b:City>Jakarta</b:City>
    <b:Publisher>PT. Grasindo</b:Publisher>
    <b:RefOrder>24</b:RefOrder>
  </b:Source>
  <b:Source>
    <b:Tag>Tri17</b:Tag>
    <b:SourceType>JournalArticle</b:SourceType>
    <b:Guid>{8621A6AF-11C5-4484-B889-F1DD887F5C6C}</b:Guid>
    <b:Author>
      <b:Author>
        <b:NameList>
          <b:Person>
            <b:Last>Trisna</b:Last>
            <b:First>G.</b:First>
            <b:Middle>A. Putu Sukma</b:Middle>
          </b:Person>
        </b:NameList>
      </b:Author>
    </b:Author>
    <b:Title>Pengembangan Pendidikan Multikultural Dalam Pembelajaran Bahasa Indonesia di Sekolah Dasar</b:Title>
    <b:JournalName>Jurnal Ilmiah Sekolah Dasar</b:JournalName>
    <b:Year>2017</b:Year>
    <b:Pages>107-112</b:Pages>
    <b:Volume>1</b:Volume>
    <b:Issue>2</b:Issue>
    <b:RefOrder>25</b:RefOrder>
  </b:Source>
  <b:Source>
    <b:Tag>Ars13</b:Tag>
    <b:SourceType>Book</b:SourceType>
    <b:Guid>{690D2163-071E-4FA1-8A43-805261732EB8}</b:Guid>
    <b:Title>Media Pembelajaran</b:Title>
    <b:Year>2013</b:Year>
    <b:City>Jakarta</b:City>
    <b:Publisher>Raja Grafindo Persada</b:Publisher>
    <b:Author>
      <b:Author>
        <b:NameList>
          <b:Person>
            <b:Last>Arsyad</b:Last>
            <b:First>Azhar</b:First>
          </b:Person>
        </b:NameList>
      </b:Author>
    </b:Author>
    <b:RefOrder>26</b:RefOrder>
  </b:Source>
  <b:Source>
    <b:Tag>Sua17</b:Tag>
    <b:SourceType>JournalArticle</b:SourceType>
    <b:Guid>{2042D2A6-15AB-48F6-90A7-FB15D417B266}</b:Guid>
    <b:Author>
      <b:Author>
        <b:NameList>
          <b:Person>
            <b:Last>Suandito</b:Last>
            <b:First>Billy</b:First>
          </b:Person>
        </b:NameList>
      </b:Author>
    </b:Author>
    <b:Title>Bukti Informal Dalam Pembelajaran Matematika</b:Title>
    <b:JournalName>Al-Jabar : Jurnal Pendidikan Matematika</b:JournalName>
    <b:Year>2017</b:Year>
    <b:Pages>13</b:Pages>
    <b:Volume>8</b:Volume>
    <b:Issue>1</b:Issue>
    <b:RefOrder>1</b:RefOrder>
  </b:Source>
  <b:Source>
    <b:Tag>Zae07</b:Tag>
    <b:SourceType>JournalArticle</b:SourceType>
    <b:Guid>{7CABC1F9-9C30-4384-AE90-844BF278717F}</b:Guid>
    <b:Author>
      <b:Author>
        <b:NameList>
          <b:Person>
            <b:Last>Zaenal</b:Last>
            <b:First>Abidin</b:First>
          </b:Person>
        </b:NameList>
      </b:Author>
    </b:Author>
    <b:Title>Variasi Pembelajaran Matematika Di sekolah  Rumah Bagi Para Homeschooler</b:Title>
    <b:JournalName>Lembaran Ilmu Kependidikan</b:JournalName>
    <b:Year>2017</b:Year>
    <b:Pages>157-161</b:Pages>
    <b:Volume>36</b:Volume>
    <b:Issue>2</b:Issue>
    <b:RefOrder>10</b:RefOrder>
  </b:Source>
  <b:Source>
    <b:Tag>Hen19</b:Tag>
    <b:SourceType>Book</b:SourceType>
    <b:Guid>{3DBB8019-0D72-4C01-914D-D50527BCCDAB}</b:Guid>
    <b:Author>
      <b:Author>
        <b:NameList>
          <b:Person>
            <b:Last>Hendriana</b:Last>
            <b:First>dkk</b:First>
          </b:Person>
        </b:NameList>
      </b:Author>
    </b:Author>
    <b:Title>Pembelajaran Inovatif matematika</b:Title>
    <b:Year>2019</b:Year>
    <b:City>Bandung</b:City>
    <b:Publisher>PT. Refika Aditama</b:Publisher>
    <b:RefOrder>14</b:RefOrder>
  </b:Source>
  <b:Source>
    <b:Tag>Sul19</b:Tag>
    <b:SourceType>Book</b:SourceType>
    <b:Guid>{1B5DED69-AE71-4522-9CCC-D18C57DC339C}</b:Guid>
    <b:Author>
      <b:Author>
        <b:NameList>
          <b:Person>
            <b:Last>Sulfemi</b:Last>
            <b:First>&amp;</b:First>
            <b:Middle>Wahyu, B</b:Middle>
          </b:Person>
        </b:NameList>
      </b:Author>
    </b:Author>
    <b:Title>Manajemen Pendidikan Berbasis Multi Budaya</b:Title>
    <b:Year>2019</b:Year>
    <b:City>Bogor</b:City>
    <b:Publisher>STKIP Muhammadiyah</b:Publisher>
    <b:RefOrder>1</b:RefOrder>
  </b:Source>
  <b:Source>
    <b:Tag>Aji19</b:Tag>
    <b:SourceType>JournalArticle</b:SourceType>
    <b:Guid>{BF2AA4D2-D63F-443C-9389-5C8C8ACBF96B}</b:Guid>
    <b:Author>
      <b:Author>
        <b:NameList>
          <b:Person>
            <b:Last>Aji W.</b:Last>
            <b:First>Sulasmono,</b:First>
            <b:Middle>B. S., &amp; Setyaningtyas, E. S</b:Middle>
          </b:Person>
        </b:NameList>
      </b:Author>
    </b:Author>
    <b:Title>UPAYA MENINGKATKAN HASIL BELAJAR DAN KETERAMPILAN PROSES SISWA MELALUI MODEL PEMBELAJARAN  PROBLEM BASED LEARNING DI KELAS IV SD N TINGKIR TENGAH 02</b:Title>
    <b:JournalName>Jurnal Basicedu, 3(1)</b:JournalName>
    <b:Year>2019</b:Year>
    <b:Pages>47-52</b:Pages>
    <b:RefOrder>9</b:RefOrder>
  </b:Source>
  <b:Source>
    <b:Tag>Placeholder1</b:Tag>
    <b:SourceType>Book</b:SourceType>
    <b:Guid>{3999DA62-BFD3-4013-90A4-E2523C565353}</b:Guid>
    <b:Title>Media Pembelajaran</b:Title>
    <b:Year>2013</b:Year>
    <b:Author>
      <b:Author>
        <b:NameList>
          <b:Person>
            <b:Last>Arsyad</b:Last>
            <b:First>A</b:First>
          </b:Person>
        </b:NameList>
      </b:Author>
    </b:Author>
    <b:City>Jakarta</b:City>
    <b:Publisher>PT. Rajagrafindo Persada</b:Publisher>
    <b:RefOrder>10</b:RefOrder>
  </b:Source>
  <b:Source>
    <b:Tag>Has14</b:Tag>
    <b:SourceType>Book</b:SourceType>
    <b:Guid>{AE9E3AF4-10A8-4F75-88C0-9248D0179CC0}</b:Guid>
    <b:Author>
      <b:Author>
        <b:NameList>
          <b:Person>
            <b:Last>Hasbullah</b:Last>
          </b:Person>
        </b:NameList>
      </b:Author>
    </b:Author>
    <b:Title>Media Pembelajaran Matematika</b:Title>
    <b:Year>2014</b:Year>
    <b:City>Jakarta</b:City>
    <b:Publisher>Savitra Collage</b:Publisher>
    <b:RefOrder>5</b:RefOrder>
  </b:Source>
  <b:Source>
    <b:Tag>Asr20</b:Tag>
    <b:SourceType>JournalArticle</b:SourceType>
    <b:Guid>{560837A7-93CC-4C62-908E-629B9E72E006}</b:Guid>
    <b:Title>Pembelajaran Inovatif pada Pendidikan Dasar</b:Title>
    <b:Year>2020</b:Year>
    <b:Author>
      <b:Author>
        <b:NameList>
          <b:Person>
            <b:Last>Asrul</b:Last>
            <b:First>A</b:First>
          </b:Person>
        </b:NameList>
      </b:Author>
    </b:Author>
    <b:JournalName>Jurnal Bunaya</b:JournalName>
    <b:Pages>137-150</b:Pages>
    <b:RefOrder>7</b:RefOrder>
  </b:Source>
  <b:Source>
    <b:Tag>Ram20</b:Tag>
    <b:SourceType>JournalArticle</b:SourceType>
    <b:Guid>{90FA807F-92D4-41A8-9CF7-4BDF3919647C}</b:Guid>
    <b:Title>Integrasi Nilai-nilai Islam dalam Pembelajaran IPA</b:Title>
    <b:Year>2020</b:Year>
    <b:Author>
      <b:Author>
        <b:NameList>
          <b:Person>
            <b:Last>Ramadanti</b:Last>
            <b:First>E.</b:First>
            <b:Middle>C</b:Middle>
          </b:Person>
        </b:NameList>
      </b:Author>
    </b:Author>
    <b:JournalName>Jurnal Tawadhu, 4(1)</b:JournalName>
    <b:Pages>1053-1062</b:Pages>
    <b:RefOrder>8</b:RefOrder>
  </b:Source>
  <b:Source>
    <b:Tag>Sep15</b:Tag>
    <b:SourceType>JournalArticle</b:SourceType>
    <b:Guid>{DFC44896-D0F8-43A0-BD5F-762E23DC7054}</b:Guid>
    <b:Author>
      <b:Author>
        <b:NameList>
          <b:Person>
            <b:Last>Septy</b:Last>
            <b:First>L.</b:First>
          </b:Person>
        </b:NameList>
      </b:Author>
    </b:Author>
    <b:Title>Pengembangan Media Komik Pada Materi Peluang Kelas VIII</b:Title>
    <b:JournalName>Jurnal Dedaktik Matematika. 2 (2)</b:JournalName>
    <b:Year>2015</b:Year>
    <b:Pages>16-26</b:Pages>
    <b:RefOrder>13</b:RefOrder>
  </b:Source>
  <b:Source>
    <b:Tag>Sup12</b:Tag>
    <b:SourceType>Book</b:SourceType>
    <b:Guid>{5E4FDD56-B173-419D-816B-A7272CF9ABD4}</b:Guid>
    <b:Title>Desain instruksional modern</b:Title>
    <b:Year>2012</b:Year>
    <b:City>Jakarta</b:City>
    <b:Publisher>Erlangga</b:Publisher>
    <b:Author>
      <b:Author>
        <b:NameList>
          <b:Person>
            <b:Last>Suparman</b:Last>
            <b:First>M.</b:First>
            <b:Middle>A</b:Middle>
          </b:Person>
        </b:NameList>
      </b:Author>
    </b:Author>
    <b:RefOrder>1</b:RefOrder>
  </b:Source>
</b:Sources>
</file>

<file path=customXml/itemProps1.xml><?xml version="1.0" encoding="utf-8"?>
<ds:datastoreItem xmlns:ds="http://schemas.openxmlformats.org/officeDocument/2006/customXml" ds:itemID="{2AEC65BF-0A5B-4705-884E-14AE17A18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6030</Words>
  <Characters>34374</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TEMPLATE-JPFI</vt:lpstr>
    </vt:vector>
  </TitlesOfParts>
  <Company>Microsoft Corporation</Company>
  <LinksUpToDate>false</LinksUpToDate>
  <CharactersWithSpaces>40324</CharactersWithSpaces>
  <SharedDoc>false</SharedDoc>
  <HLinks>
    <vt:vector size="12" baseType="variant">
      <vt:variant>
        <vt:i4>4128787</vt:i4>
      </vt:variant>
      <vt:variant>
        <vt:i4>6</vt:i4>
      </vt:variant>
      <vt:variant>
        <vt:i4>0</vt:i4>
      </vt:variant>
      <vt:variant>
        <vt:i4>5</vt:i4>
      </vt:variant>
      <vt:variant>
        <vt:lpwstr>mailto:mawardi88@gmail.com</vt:lpwstr>
      </vt:variant>
      <vt:variant>
        <vt:lpwstr/>
      </vt:variant>
      <vt:variant>
        <vt:i4>3604606</vt:i4>
      </vt:variant>
      <vt:variant>
        <vt:i4>0</vt:i4>
      </vt:variant>
      <vt:variant>
        <vt:i4>0</vt:i4>
      </vt:variant>
      <vt:variant>
        <vt:i4>5</vt:i4>
      </vt:variant>
      <vt:variant>
        <vt:lpwstr>https://creativecommons.org/licenses/by-sa/4.0/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TEMPLATE-JPFI</dc:title>
  <dc:subject/>
  <dc:creator>crystal</dc:creator>
  <cp:keywords/>
  <cp:lastModifiedBy>ASUS NOTEBOOK</cp:lastModifiedBy>
  <cp:revision>2</cp:revision>
  <cp:lastPrinted>2021-09-11T04:50:00Z</cp:lastPrinted>
  <dcterms:created xsi:type="dcterms:W3CDTF">2026-08-21T03:34:00Z</dcterms:created>
  <dcterms:modified xsi:type="dcterms:W3CDTF">2026-08-21T03:34:00Z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8d9a7ecf-76c3-3813-b076-2faba8dc104c</vt:lpwstr>
  </property>
  <property fmtid="{D5CDD505-2E9C-101B-9397-08002B2CF9AE}" pid="24" name="Mendeley Citation Style_1">
    <vt:lpwstr>http://www.zotero.org/styles/apa</vt:lpwstr>
  </property>
  <property fmtid="{D5CDD505-2E9C-101B-9397-08002B2CF9AE}" pid="25" name="GrammarlyDocumentId">
    <vt:lpwstr>c2916e4f-7188-45ba-8e04-9492e0429e8e</vt:lpwstr>
  </property>
</Properties>
</file>