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00ABF4" w14:textId="651B77BF" w:rsidR="006E71E9" w:rsidRPr="006E71E9" w:rsidRDefault="00CF1BD7" w:rsidP="006E71E9">
      <w:pPr>
        <w:jc w:val="center"/>
        <w:rPr>
          <w:rFonts w:ascii="Times New Roman" w:hAnsi="Times New Roman" w:cs="Times New Roman"/>
          <w:b/>
          <w:bCs/>
          <w:i/>
          <w:iCs/>
          <w:sz w:val="28"/>
          <w:szCs w:val="28"/>
        </w:rPr>
      </w:pPr>
      <w:r>
        <w:rPr>
          <w:rFonts w:ascii="Times New Roman" w:hAnsi="Times New Roman" w:cs="Times New Roman"/>
          <w:b/>
          <w:bCs/>
          <w:i/>
          <w:iCs/>
          <w:sz w:val="28"/>
          <w:szCs w:val="28"/>
        </w:rPr>
        <w:t xml:space="preserve"> </w:t>
      </w:r>
      <w:r w:rsidR="006E71E9" w:rsidRPr="006E71E9">
        <w:rPr>
          <w:rFonts w:ascii="Times New Roman" w:hAnsi="Times New Roman" w:cs="Times New Roman"/>
          <w:b/>
          <w:bCs/>
          <w:i/>
          <w:iCs/>
          <w:sz w:val="28"/>
          <w:szCs w:val="28"/>
        </w:rPr>
        <w:t>JURIDICAL REVIEW OF THE DETERMINATION OF NATIONAL TERRITORIAL BOUNDARIES ACCORDING TO THE PROVISIONS OF INTERNATIONAL LAW</w:t>
      </w:r>
    </w:p>
    <w:p w14:paraId="3742C64B" w14:textId="6BC6918C" w:rsidR="002047B0" w:rsidRDefault="00065AF0" w:rsidP="002047B0">
      <w:pPr>
        <w:spacing w:after="0" w:line="240" w:lineRule="auto"/>
        <w:rPr>
          <w:rFonts w:ascii="Times New Roman" w:eastAsia="Times New Roman" w:hAnsi="Times New Roman" w:cs="Times New Roman"/>
          <w:color w:val="000000"/>
          <w:sz w:val="20"/>
          <w:szCs w:val="20"/>
          <w:vertAlign w:val="superscript"/>
          <w:lang w:val="fi-FI"/>
        </w:rPr>
      </w:pPr>
      <w:r w:rsidRPr="00065AF0">
        <w:rPr>
          <w:rFonts w:ascii="Times New Roman" w:eastAsia="Times New Roman" w:hAnsi="Times New Roman" w:cs="Times New Roman"/>
          <w:color w:val="000000"/>
          <w:sz w:val="20"/>
          <w:szCs w:val="20"/>
          <w:lang w:val="fi-FI"/>
        </w:rPr>
        <w:t>Salsabila Mareski</w:t>
      </w:r>
      <w:r w:rsidRPr="00065AF0">
        <w:rPr>
          <w:rFonts w:ascii="Times New Roman" w:eastAsia="Times New Roman" w:hAnsi="Times New Roman" w:cs="Times New Roman"/>
          <w:color w:val="000000"/>
          <w:sz w:val="20"/>
          <w:szCs w:val="20"/>
          <w:vertAlign w:val="superscript"/>
          <w:lang w:val="fi-FI"/>
        </w:rPr>
        <w:t>1</w:t>
      </w:r>
      <w:r w:rsidRPr="00065AF0">
        <w:rPr>
          <w:rFonts w:ascii="Times New Roman" w:eastAsia="Times New Roman" w:hAnsi="Times New Roman" w:cs="Times New Roman"/>
          <w:color w:val="000000"/>
          <w:sz w:val="20"/>
          <w:szCs w:val="20"/>
          <w:lang w:val="fi-FI"/>
        </w:rPr>
        <w:t>, Wijayono Hadi Sukrisno</w:t>
      </w:r>
      <w:r w:rsidRPr="00065AF0">
        <w:rPr>
          <w:rFonts w:ascii="Times New Roman" w:eastAsia="Times New Roman" w:hAnsi="Times New Roman" w:cs="Times New Roman"/>
          <w:color w:val="000000"/>
          <w:sz w:val="20"/>
          <w:szCs w:val="20"/>
          <w:vertAlign w:val="superscript"/>
          <w:lang w:val="fi-FI"/>
        </w:rPr>
        <w:t>2</w:t>
      </w:r>
      <w:r>
        <w:rPr>
          <w:rFonts w:ascii="Times New Roman" w:eastAsia="Times New Roman" w:hAnsi="Times New Roman" w:cs="Times New Roman"/>
          <w:color w:val="000000"/>
          <w:sz w:val="20"/>
          <w:szCs w:val="20"/>
          <w:lang w:val="fi-FI"/>
        </w:rPr>
        <w:t xml:space="preserve">, </w:t>
      </w:r>
      <w:r w:rsidRPr="00065AF0">
        <w:rPr>
          <w:rFonts w:ascii="Times New Roman" w:eastAsia="Times New Roman" w:hAnsi="Times New Roman" w:cs="Times New Roman"/>
          <w:color w:val="000000"/>
          <w:sz w:val="20"/>
          <w:szCs w:val="20"/>
          <w:lang w:val="fi-FI"/>
        </w:rPr>
        <w:t>Adystia Sunggara</w:t>
      </w:r>
      <w:r w:rsidRPr="00065AF0">
        <w:rPr>
          <w:rFonts w:ascii="Times New Roman" w:eastAsia="Times New Roman" w:hAnsi="Times New Roman" w:cs="Times New Roman"/>
          <w:color w:val="000000"/>
          <w:sz w:val="20"/>
          <w:szCs w:val="20"/>
          <w:vertAlign w:val="superscript"/>
          <w:lang w:val="fi-FI"/>
        </w:rPr>
        <w:t>3</w:t>
      </w:r>
    </w:p>
    <w:p w14:paraId="458042F6" w14:textId="77777777" w:rsidR="00065AF0" w:rsidRPr="00065AF0" w:rsidRDefault="00065AF0" w:rsidP="002047B0">
      <w:pPr>
        <w:spacing w:after="0" w:line="240" w:lineRule="auto"/>
        <w:rPr>
          <w:rFonts w:ascii="Times New Roman" w:eastAsia="Times New Roman" w:hAnsi="Times New Roman" w:cs="Times New Roman"/>
          <w:sz w:val="20"/>
          <w:szCs w:val="20"/>
          <w:lang w:val="fi-FI"/>
        </w:rPr>
      </w:pPr>
    </w:p>
    <w:p w14:paraId="53063E6C" w14:textId="50F5EDF5" w:rsidR="00065AF0" w:rsidRPr="00065AF0" w:rsidRDefault="00065AF0" w:rsidP="00065AF0">
      <w:pPr>
        <w:spacing w:after="0" w:line="240" w:lineRule="auto"/>
        <w:rPr>
          <w:rFonts w:ascii="Times New Roman" w:eastAsia="Times New Roman" w:hAnsi="Times New Roman" w:cs="Times New Roman"/>
          <w:sz w:val="20"/>
          <w:szCs w:val="20"/>
        </w:rPr>
      </w:pPr>
      <w:r w:rsidRPr="00065AF0">
        <w:rPr>
          <w:rFonts w:ascii="Times New Roman" w:eastAsia="Times New Roman" w:hAnsi="Times New Roman" w:cs="Times New Roman"/>
          <w:sz w:val="20"/>
          <w:szCs w:val="20"/>
          <w:vertAlign w:val="superscript"/>
        </w:rPr>
        <w:t>1</w:t>
      </w:r>
      <w:r w:rsidR="008E6210">
        <w:rPr>
          <w:rFonts w:ascii="Times New Roman" w:eastAsia="Times New Roman" w:hAnsi="Times New Roman" w:cs="Times New Roman"/>
          <w:sz w:val="20"/>
          <w:szCs w:val="20"/>
        </w:rPr>
        <w:t>L</w:t>
      </w:r>
      <w:r w:rsidRPr="00065AF0">
        <w:rPr>
          <w:rFonts w:ascii="Times New Roman" w:eastAsia="Times New Roman" w:hAnsi="Times New Roman" w:cs="Times New Roman"/>
          <w:sz w:val="20"/>
          <w:szCs w:val="20"/>
        </w:rPr>
        <w:t xml:space="preserve">aw student at </w:t>
      </w:r>
      <w:proofErr w:type="spellStart"/>
      <w:r w:rsidRPr="00065AF0">
        <w:rPr>
          <w:rFonts w:ascii="Times New Roman" w:eastAsia="Times New Roman" w:hAnsi="Times New Roman" w:cs="Times New Roman"/>
          <w:sz w:val="20"/>
          <w:szCs w:val="20"/>
        </w:rPr>
        <w:t>Pertiba</w:t>
      </w:r>
      <w:proofErr w:type="spellEnd"/>
      <w:r w:rsidRPr="00065AF0">
        <w:rPr>
          <w:rFonts w:ascii="Times New Roman" w:eastAsia="Times New Roman" w:hAnsi="Times New Roman" w:cs="Times New Roman"/>
          <w:sz w:val="20"/>
          <w:szCs w:val="20"/>
        </w:rPr>
        <w:t xml:space="preserve"> University</w:t>
      </w:r>
    </w:p>
    <w:p w14:paraId="31958961" w14:textId="4F44CB1C" w:rsidR="00065AF0" w:rsidRPr="00065AF0" w:rsidRDefault="00065AF0" w:rsidP="00065AF0">
      <w:pPr>
        <w:spacing w:after="0" w:line="240" w:lineRule="auto"/>
        <w:rPr>
          <w:rFonts w:ascii="Times New Roman" w:eastAsia="Times New Roman" w:hAnsi="Times New Roman" w:cs="Times New Roman"/>
          <w:sz w:val="20"/>
          <w:szCs w:val="20"/>
          <w:vertAlign w:val="superscript"/>
        </w:rPr>
      </w:pPr>
      <w:r w:rsidRPr="00065AF0">
        <w:rPr>
          <w:rFonts w:ascii="Times New Roman" w:eastAsia="Times New Roman" w:hAnsi="Times New Roman" w:cs="Times New Roman"/>
          <w:sz w:val="20"/>
          <w:szCs w:val="20"/>
          <w:vertAlign w:val="superscript"/>
        </w:rPr>
        <w:t>2</w:t>
      </w:r>
      <w:r w:rsidR="008E6210">
        <w:rPr>
          <w:rFonts w:ascii="Times New Roman" w:eastAsia="Times New Roman" w:hAnsi="Times New Roman" w:cs="Times New Roman"/>
          <w:sz w:val="20"/>
          <w:szCs w:val="20"/>
          <w:lang w:val="en-US"/>
        </w:rPr>
        <w:t>L</w:t>
      </w:r>
      <w:r w:rsidRPr="00065AF0">
        <w:rPr>
          <w:rFonts w:ascii="Times New Roman" w:eastAsia="Times New Roman" w:hAnsi="Times New Roman" w:cs="Times New Roman"/>
          <w:sz w:val="20"/>
          <w:szCs w:val="20"/>
          <w:lang w:val="en-US"/>
        </w:rPr>
        <w:t xml:space="preserve">ecturer at the Faculty of Law, </w:t>
      </w:r>
      <w:proofErr w:type="spellStart"/>
      <w:r w:rsidRPr="00065AF0">
        <w:rPr>
          <w:rFonts w:ascii="Times New Roman" w:eastAsia="Times New Roman" w:hAnsi="Times New Roman" w:cs="Times New Roman"/>
          <w:sz w:val="20"/>
          <w:szCs w:val="20"/>
          <w:lang w:val="en-US"/>
        </w:rPr>
        <w:t>Pertiba</w:t>
      </w:r>
      <w:proofErr w:type="spellEnd"/>
      <w:r w:rsidRPr="00065AF0">
        <w:rPr>
          <w:rFonts w:ascii="Times New Roman" w:eastAsia="Times New Roman" w:hAnsi="Times New Roman" w:cs="Times New Roman"/>
          <w:sz w:val="20"/>
          <w:szCs w:val="20"/>
          <w:lang w:val="en-US"/>
        </w:rPr>
        <w:t xml:space="preserve"> University</w:t>
      </w:r>
      <w:r w:rsidRPr="00065AF0">
        <w:rPr>
          <w:rFonts w:ascii="Times New Roman" w:eastAsia="Times New Roman" w:hAnsi="Times New Roman" w:cs="Times New Roman"/>
          <w:sz w:val="20"/>
          <w:szCs w:val="20"/>
          <w:vertAlign w:val="superscript"/>
        </w:rPr>
        <w:t xml:space="preserve"> </w:t>
      </w:r>
    </w:p>
    <w:p w14:paraId="50C42767" w14:textId="74591EB7" w:rsidR="00065AF0" w:rsidRPr="00065AF0" w:rsidRDefault="00065AF0" w:rsidP="00065AF0">
      <w:pPr>
        <w:spacing w:after="0" w:line="240" w:lineRule="auto"/>
        <w:rPr>
          <w:rFonts w:ascii="Times New Roman" w:eastAsia="Times New Roman" w:hAnsi="Times New Roman" w:cs="Times New Roman"/>
          <w:i/>
          <w:sz w:val="20"/>
          <w:szCs w:val="20"/>
        </w:rPr>
      </w:pPr>
      <w:r w:rsidRPr="00065AF0">
        <w:rPr>
          <w:rFonts w:ascii="Times New Roman" w:eastAsia="Times New Roman" w:hAnsi="Times New Roman" w:cs="Times New Roman"/>
          <w:sz w:val="20"/>
          <w:szCs w:val="20"/>
          <w:vertAlign w:val="superscript"/>
        </w:rPr>
        <w:t>3</w:t>
      </w:r>
      <w:r w:rsidR="008E6210">
        <w:rPr>
          <w:rFonts w:ascii="Times New Roman" w:eastAsia="Times New Roman" w:hAnsi="Times New Roman" w:cs="Times New Roman"/>
          <w:sz w:val="20"/>
          <w:szCs w:val="20"/>
          <w:lang w:val="en-US"/>
        </w:rPr>
        <w:t>L</w:t>
      </w:r>
      <w:r w:rsidRPr="00065AF0">
        <w:rPr>
          <w:rFonts w:ascii="Times New Roman" w:eastAsia="Times New Roman" w:hAnsi="Times New Roman" w:cs="Times New Roman"/>
          <w:sz w:val="20"/>
          <w:szCs w:val="20"/>
          <w:lang w:val="en-US"/>
        </w:rPr>
        <w:t xml:space="preserve">ecturer at the Faculty of Law, </w:t>
      </w:r>
      <w:proofErr w:type="spellStart"/>
      <w:r w:rsidRPr="00065AF0">
        <w:rPr>
          <w:rFonts w:ascii="Times New Roman" w:eastAsia="Times New Roman" w:hAnsi="Times New Roman" w:cs="Times New Roman"/>
          <w:sz w:val="20"/>
          <w:szCs w:val="20"/>
          <w:lang w:val="en-US"/>
        </w:rPr>
        <w:t>Pertiba</w:t>
      </w:r>
      <w:proofErr w:type="spellEnd"/>
      <w:r w:rsidRPr="00065AF0">
        <w:rPr>
          <w:rFonts w:ascii="Times New Roman" w:eastAsia="Times New Roman" w:hAnsi="Times New Roman" w:cs="Times New Roman"/>
          <w:sz w:val="20"/>
          <w:szCs w:val="20"/>
          <w:lang w:val="en-US"/>
        </w:rPr>
        <w:t xml:space="preserve"> University</w:t>
      </w:r>
      <w:r w:rsidRPr="00065AF0">
        <w:rPr>
          <w:rFonts w:ascii="Times New Roman" w:eastAsia="Times New Roman" w:hAnsi="Times New Roman" w:cs="Times New Roman"/>
          <w:i/>
          <w:sz w:val="20"/>
          <w:szCs w:val="20"/>
        </w:rPr>
        <w:t xml:space="preserve"> </w:t>
      </w:r>
    </w:p>
    <w:p w14:paraId="6EC1FB14" w14:textId="77777777" w:rsidR="002047B0" w:rsidRPr="002047B0" w:rsidRDefault="002047B0" w:rsidP="002047B0">
      <w:pPr>
        <w:spacing w:after="0" w:line="240" w:lineRule="auto"/>
        <w:rPr>
          <w:rFonts w:ascii="Times New Roman" w:eastAsia="Times New Roman" w:hAnsi="Times New Roman" w:cs="Times New Roman"/>
          <w:sz w:val="20"/>
          <w:szCs w:val="20"/>
        </w:rPr>
      </w:pPr>
    </w:p>
    <w:tbl>
      <w:tblPr>
        <w:tblW w:w="9016" w:type="dxa"/>
        <w:tblInd w:w="-108" w:type="dxa"/>
        <w:tblBorders>
          <w:top w:val="nil"/>
          <w:left w:val="nil"/>
          <w:bottom w:val="single" w:sz="4" w:space="0" w:color="000000"/>
          <w:right w:val="nil"/>
          <w:insideH w:val="single" w:sz="4" w:space="0" w:color="000000"/>
          <w:insideV w:val="single" w:sz="4" w:space="0" w:color="000000"/>
        </w:tblBorders>
        <w:tblLayout w:type="fixed"/>
        <w:tblLook w:val="0400" w:firstRow="0" w:lastRow="0" w:firstColumn="0" w:lastColumn="0" w:noHBand="0" w:noVBand="1"/>
      </w:tblPr>
      <w:tblGrid>
        <w:gridCol w:w="3227"/>
        <w:gridCol w:w="5789"/>
      </w:tblGrid>
      <w:tr w:rsidR="0009793C" w14:paraId="4E09141E" w14:textId="77777777" w:rsidTr="00A55947">
        <w:tc>
          <w:tcPr>
            <w:tcW w:w="3227" w:type="dxa"/>
          </w:tcPr>
          <w:p w14:paraId="22CA13A5" w14:textId="61C635C9" w:rsidR="0009793C" w:rsidRDefault="0009793C" w:rsidP="00065AF0">
            <w:pPr>
              <w:spacing w:after="0" w:line="240" w:lineRule="auto"/>
              <w:ind w:left="-107"/>
              <w:rPr>
                <w:rFonts w:ascii="Times New Roman" w:eastAsia="Times New Roman" w:hAnsi="Times New Roman" w:cs="Times New Roman"/>
                <w:sz w:val="28"/>
                <w:szCs w:val="28"/>
              </w:rPr>
            </w:pPr>
            <w:r>
              <w:rPr>
                <w:rFonts w:ascii="Times New Roman" w:eastAsia="Times New Roman" w:hAnsi="Times New Roman" w:cs="Times New Roman"/>
                <w:color w:val="000000"/>
                <w:sz w:val="20"/>
                <w:szCs w:val="20"/>
              </w:rPr>
              <w:t>Received:</w:t>
            </w:r>
            <w:r w:rsidR="00C47D7D">
              <w:rPr>
                <w:rFonts w:ascii="Times New Roman" w:eastAsia="Times New Roman" w:hAnsi="Times New Roman" w:cs="Times New Roman"/>
                <w:color w:val="000000"/>
                <w:sz w:val="20"/>
                <w:szCs w:val="20"/>
              </w:rPr>
              <w:t xml:space="preserve"> August 15, 2026</w:t>
            </w:r>
          </w:p>
          <w:p w14:paraId="3D6071A4" w14:textId="3282DE91" w:rsidR="0009793C" w:rsidRDefault="0009793C" w:rsidP="00065AF0">
            <w:pPr>
              <w:spacing w:after="0" w:line="240" w:lineRule="auto"/>
              <w:ind w:left="-107"/>
              <w:rPr>
                <w:rFonts w:ascii="Times New Roman" w:eastAsia="Times New Roman" w:hAnsi="Times New Roman" w:cs="Times New Roman"/>
                <w:sz w:val="28"/>
                <w:szCs w:val="28"/>
              </w:rPr>
            </w:pPr>
            <w:r>
              <w:rPr>
                <w:rFonts w:ascii="Times New Roman" w:eastAsia="Times New Roman" w:hAnsi="Times New Roman" w:cs="Times New Roman"/>
                <w:color w:val="000000"/>
                <w:sz w:val="20"/>
                <w:szCs w:val="20"/>
              </w:rPr>
              <w:t>Revised:</w:t>
            </w:r>
            <w:r w:rsidR="00C47D7D">
              <w:rPr>
                <w:rFonts w:ascii="Times New Roman" w:eastAsia="Times New Roman" w:hAnsi="Times New Roman" w:cs="Times New Roman"/>
                <w:color w:val="000000"/>
                <w:sz w:val="20"/>
                <w:szCs w:val="20"/>
              </w:rPr>
              <w:t xml:space="preserve"> August 19, 2026</w:t>
            </w:r>
          </w:p>
          <w:p w14:paraId="37F46C1B" w14:textId="53AA5182" w:rsidR="0009793C" w:rsidRDefault="0009793C" w:rsidP="00065AF0">
            <w:pPr>
              <w:spacing w:after="0" w:line="240" w:lineRule="auto"/>
              <w:ind w:left="-107"/>
              <w:rPr>
                <w:rFonts w:ascii="Times New Roman" w:eastAsia="Times New Roman" w:hAnsi="Times New Roman" w:cs="Times New Roman"/>
                <w:sz w:val="28"/>
                <w:szCs w:val="28"/>
              </w:rPr>
            </w:pPr>
            <w:r>
              <w:rPr>
                <w:rFonts w:ascii="Times New Roman" w:eastAsia="Times New Roman" w:hAnsi="Times New Roman" w:cs="Times New Roman"/>
                <w:color w:val="000000"/>
                <w:sz w:val="20"/>
                <w:szCs w:val="20"/>
              </w:rPr>
              <w:t>Accepted:</w:t>
            </w:r>
            <w:r w:rsidR="00C47D7D">
              <w:rPr>
                <w:rFonts w:ascii="Times New Roman" w:eastAsia="Times New Roman" w:hAnsi="Times New Roman" w:cs="Times New Roman"/>
                <w:color w:val="000000"/>
                <w:sz w:val="20"/>
                <w:szCs w:val="20"/>
              </w:rPr>
              <w:t xml:space="preserve"> August 23, 2026</w:t>
            </w:r>
          </w:p>
          <w:p w14:paraId="36E4253F" w14:textId="41CEBB7E" w:rsidR="0009793C" w:rsidRDefault="0009793C" w:rsidP="00065AF0">
            <w:pPr>
              <w:spacing w:after="0" w:line="240" w:lineRule="auto"/>
              <w:ind w:left="-107"/>
              <w:rPr>
                <w:rFonts w:ascii="Times New Roman" w:eastAsia="Times New Roman" w:hAnsi="Times New Roman" w:cs="Times New Roman"/>
                <w:sz w:val="28"/>
                <w:szCs w:val="28"/>
              </w:rPr>
            </w:pPr>
            <w:r>
              <w:rPr>
                <w:rFonts w:ascii="Times New Roman" w:eastAsia="Times New Roman" w:hAnsi="Times New Roman" w:cs="Times New Roman"/>
                <w:color w:val="000000"/>
                <w:sz w:val="20"/>
                <w:szCs w:val="20"/>
              </w:rPr>
              <w:t>Published:</w:t>
            </w:r>
            <w:r w:rsidR="00E01729">
              <w:rPr>
                <w:rFonts w:ascii="Times New Roman" w:eastAsia="Times New Roman" w:hAnsi="Times New Roman" w:cs="Times New Roman"/>
                <w:color w:val="000000"/>
                <w:sz w:val="20"/>
                <w:szCs w:val="20"/>
              </w:rPr>
              <w:t xml:space="preserve"> August 25, 2026</w:t>
            </w:r>
          </w:p>
          <w:p w14:paraId="6975A8C4" w14:textId="77777777" w:rsidR="0009793C" w:rsidRDefault="0009793C" w:rsidP="00B26235">
            <w:pPr>
              <w:rPr>
                <w:rFonts w:ascii="Times New Roman" w:eastAsia="Times New Roman" w:hAnsi="Times New Roman" w:cs="Times New Roman"/>
                <w:sz w:val="28"/>
                <w:szCs w:val="28"/>
              </w:rPr>
            </w:pPr>
          </w:p>
          <w:p w14:paraId="61D860F6" w14:textId="77777777" w:rsidR="0009793C" w:rsidRDefault="0009793C" w:rsidP="00065AF0">
            <w:pPr>
              <w:spacing w:after="0"/>
              <w:ind w:left="-108"/>
              <w:rPr>
                <w:rFonts w:ascii="Times New Roman" w:eastAsia="Times New Roman" w:hAnsi="Times New Roman" w:cs="Times New Roman"/>
                <w:sz w:val="28"/>
                <w:szCs w:val="28"/>
              </w:rPr>
            </w:pPr>
            <w:r>
              <w:rPr>
                <w:rFonts w:ascii="Times New Roman" w:eastAsia="Times New Roman" w:hAnsi="Times New Roman" w:cs="Times New Roman"/>
                <w:color w:val="000000"/>
                <w:sz w:val="20"/>
                <w:szCs w:val="20"/>
              </w:rPr>
              <w:t>Corresponding Author:</w:t>
            </w:r>
          </w:p>
          <w:p w14:paraId="450C9D93" w14:textId="6315B2E0" w:rsidR="0009793C" w:rsidRDefault="0009793C" w:rsidP="00065AF0">
            <w:pPr>
              <w:spacing w:after="0"/>
              <w:ind w:left="-107"/>
              <w:rPr>
                <w:rFonts w:ascii="Times New Roman" w:eastAsia="Times New Roman" w:hAnsi="Times New Roman" w:cs="Times New Roman"/>
                <w:sz w:val="28"/>
                <w:szCs w:val="28"/>
              </w:rPr>
            </w:pPr>
            <w:r>
              <w:rPr>
                <w:rFonts w:ascii="Times New Roman" w:eastAsia="Times New Roman" w:hAnsi="Times New Roman" w:cs="Times New Roman"/>
                <w:color w:val="000000"/>
                <w:sz w:val="20"/>
                <w:szCs w:val="20"/>
              </w:rPr>
              <w:t>Author Name</w:t>
            </w:r>
            <w:r>
              <w:rPr>
                <w:rFonts w:ascii="Times New Roman" w:eastAsia="Times New Roman" w:hAnsi="Times New Roman" w:cs="Times New Roman"/>
                <w:color w:val="FF0000"/>
                <w:sz w:val="20"/>
                <w:szCs w:val="20"/>
              </w:rPr>
              <w:t>*</w:t>
            </w:r>
            <w:r>
              <w:rPr>
                <w:rFonts w:ascii="Times New Roman" w:eastAsia="Times New Roman" w:hAnsi="Times New Roman" w:cs="Times New Roman"/>
                <w:color w:val="000000"/>
                <w:sz w:val="20"/>
                <w:szCs w:val="20"/>
              </w:rPr>
              <w:t>: Salsabila Mareski</w:t>
            </w:r>
          </w:p>
          <w:p w14:paraId="1005F2F0" w14:textId="172B767A" w:rsidR="0009793C" w:rsidRDefault="0009793C" w:rsidP="00065AF0">
            <w:pPr>
              <w:spacing w:after="0"/>
              <w:ind w:left="-107"/>
              <w:rPr>
                <w:rFonts w:ascii="Times New Roman" w:eastAsia="Times New Roman" w:hAnsi="Times New Roman" w:cs="Times New Roman"/>
                <w:sz w:val="28"/>
                <w:szCs w:val="28"/>
              </w:rPr>
            </w:pPr>
            <w:r>
              <w:rPr>
                <w:rFonts w:ascii="Times New Roman" w:eastAsia="Times New Roman" w:hAnsi="Times New Roman" w:cs="Times New Roman"/>
                <w:color w:val="000000"/>
                <w:sz w:val="20"/>
                <w:szCs w:val="20"/>
              </w:rPr>
              <w:t>Email</w:t>
            </w:r>
            <w:r>
              <w:rPr>
                <w:rFonts w:ascii="Times New Roman" w:eastAsia="Times New Roman" w:hAnsi="Times New Roman" w:cs="Times New Roman"/>
                <w:color w:val="FF0000"/>
                <w:sz w:val="20"/>
                <w:szCs w:val="20"/>
              </w:rPr>
              <w:t>*</w:t>
            </w:r>
            <w:r>
              <w:rPr>
                <w:rFonts w:ascii="Times New Roman" w:eastAsia="Times New Roman" w:hAnsi="Times New Roman" w:cs="Times New Roman"/>
                <w:color w:val="000000"/>
                <w:sz w:val="20"/>
                <w:szCs w:val="20"/>
              </w:rPr>
              <w:t>: Salsabilaabilaa79@gmail.com</w:t>
            </w:r>
          </w:p>
          <w:p w14:paraId="4F458F31" w14:textId="77777777" w:rsidR="0009793C" w:rsidRDefault="0009793C" w:rsidP="00B26235">
            <w:pPr>
              <w:rPr>
                <w:rFonts w:ascii="Times New Roman" w:eastAsia="Times New Roman" w:hAnsi="Times New Roman" w:cs="Times New Roman"/>
              </w:rPr>
            </w:pPr>
          </w:p>
        </w:tc>
        <w:tc>
          <w:tcPr>
            <w:tcW w:w="5789" w:type="dxa"/>
          </w:tcPr>
          <w:p w14:paraId="1C919D45" w14:textId="1613F7C2" w:rsidR="00A55947" w:rsidRPr="00A55947" w:rsidRDefault="00A55947" w:rsidP="00A55947">
            <w:pPr>
              <w:jc w:val="both"/>
              <w:rPr>
                <w:rFonts w:ascii="Times New Roman" w:eastAsia="Times New Roman" w:hAnsi="Times New Roman" w:cs="Times New Roman"/>
                <w:i/>
                <w:iCs/>
                <w:sz w:val="20"/>
                <w:szCs w:val="20"/>
              </w:rPr>
            </w:pPr>
            <w:r w:rsidRPr="00A55947">
              <w:rPr>
                <w:rFonts w:ascii="Times New Roman" w:eastAsia="Times New Roman" w:hAnsi="Times New Roman" w:cs="Times New Roman"/>
                <w:b/>
                <w:bCs/>
                <w:i/>
                <w:iCs/>
                <w:sz w:val="20"/>
                <w:szCs w:val="20"/>
              </w:rPr>
              <w:t xml:space="preserve">Abstract: </w:t>
            </w:r>
            <w:r w:rsidRPr="00A55947">
              <w:rPr>
                <w:rFonts w:ascii="Times New Roman" w:eastAsia="Times New Roman" w:hAnsi="Times New Roman" w:cs="Times New Roman"/>
                <w:i/>
                <w:iCs/>
                <w:sz w:val="20"/>
                <w:szCs w:val="20"/>
              </w:rPr>
              <w:t xml:space="preserve">The determination of national territorial boundaries is one of the most important aspects of international law because it is directly related to sovereignty, jurisdiction, national security, and relations between countries. The clarity of territorial boundaries determines the scope of a country's authority in carrying out its governmental functions and exercising its rights based on international law. In the practice of international relations, territorial boundary disputes still often occur in land, sea, and air areas. These disputes generally arise due to differences in interpretation of international agreements, historical factors, economic interests, and unclear international legal norms that govern territorial delimitation. This study aims to </w:t>
            </w:r>
            <w:proofErr w:type="spellStart"/>
            <w:r w:rsidRPr="00A55947">
              <w:rPr>
                <w:rFonts w:ascii="Times New Roman" w:eastAsia="Times New Roman" w:hAnsi="Times New Roman" w:cs="Times New Roman"/>
                <w:i/>
                <w:iCs/>
                <w:sz w:val="20"/>
                <w:szCs w:val="20"/>
              </w:rPr>
              <w:t>analyze</w:t>
            </w:r>
            <w:proofErr w:type="spellEnd"/>
            <w:r w:rsidRPr="00A55947">
              <w:rPr>
                <w:rFonts w:ascii="Times New Roman" w:eastAsia="Times New Roman" w:hAnsi="Times New Roman" w:cs="Times New Roman"/>
                <w:i/>
                <w:iCs/>
                <w:sz w:val="20"/>
                <w:szCs w:val="20"/>
              </w:rPr>
              <w:t xml:space="preserve"> the arrangement of the determination of national territorial boundaries according to the provisions of international law and </w:t>
            </w:r>
            <w:proofErr w:type="spellStart"/>
            <w:r w:rsidRPr="00A55947">
              <w:rPr>
                <w:rFonts w:ascii="Times New Roman" w:eastAsia="Times New Roman" w:hAnsi="Times New Roman" w:cs="Times New Roman"/>
                <w:i/>
                <w:iCs/>
                <w:sz w:val="20"/>
                <w:szCs w:val="20"/>
              </w:rPr>
              <w:t>analyze</w:t>
            </w:r>
            <w:proofErr w:type="spellEnd"/>
            <w:r w:rsidRPr="00A55947">
              <w:rPr>
                <w:rFonts w:ascii="Times New Roman" w:eastAsia="Times New Roman" w:hAnsi="Times New Roman" w:cs="Times New Roman"/>
                <w:i/>
                <w:iCs/>
                <w:sz w:val="20"/>
                <w:szCs w:val="20"/>
              </w:rPr>
              <w:t xml:space="preserve"> the mechanism for resolving disputes over the territorial boundaries of countries recognized in international law. The research method used is normative legal research with a statutory approach and a conceptual approach. The legal materials used consist of primary, secondary, and tertiary legal materials obtained through literature studies and qualitatively </w:t>
            </w:r>
            <w:proofErr w:type="spellStart"/>
            <w:r w:rsidRPr="00A55947">
              <w:rPr>
                <w:rFonts w:ascii="Times New Roman" w:eastAsia="Times New Roman" w:hAnsi="Times New Roman" w:cs="Times New Roman"/>
                <w:i/>
                <w:iCs/>
                <w:sz w:val="20"/>
                <w:szCs w:val="20"/>
              </w:rPr>
              <w:t>analyzed</w:t>
            </w:r>
            <w:proofErr w:type="spellEnd"/>
            <w:r w:rsidRPr="00A55947">
              <w:rPr>
                <w:rFonts w:ascii="Times New Roman" w:eastAsia="Times New Roman" w:hAnsi="Times New Roman" w:cs="Times New Roman"/>
                <w:i/>
                <w:iCs/>
                <w:sz w:val="20"/>
                <w:szCs w:val="20"/>
              </w:rPr>
              <w:t>. The results of the study show that the regulation of national territorial boundaries in international law is sourced from the United Nations Charter, customary international law, international agreements, and the United Nations Convention on the Law of the Sea (UNCLOS) 1982. In addition, the settlement of territorial boundary disputes can be carried out through negotiation, mediation, conciliation, international arbitration, and settlement through the International Court. The existence of these various mechanisms shows that international law has provided adequate instruments in maintaining order and stability in relations between countries.</w:t>
            </w:r>
          </w:p>
          <w:p w14:paraId="3CF99655" w14:textId="07EBEA98" w:rsidR="0009793C" w:rsidRPr="00A55947" w:rsidRDefault="00A55947" w:rsidP="00A55947">
            <w:pPr>
              <w:jc w:val="both"/>
              <w:rPr>
                <w:rFonts w:ascii="Times New Roman" w:eastAsia="Times New Roman" w:hAnsi="Times New Roman" w:cs="Times New Roman"/>
                <w:sz w:val="20"/>
                <w:szCs w:val="20"/>
              </w:rPr>
            </w:pPr>
            <w:r w:rsidRPr="00A55947">
              <w:rPr>
                <w:rFonts w:ascii="Times New Roman" w:eastAsia="Times New Roman" w:hAnsi="Times New Roman" w:cs="Times New Roman"/>
                <w:b/>
                <w:bCs/>
                <w:i/>
                <w:iCs/>
                <w:sz w:val="20"/>
                <w:szCs w:val="20"/>
              </w:rPr>
              <w:t>Keywords:</w:t>
            </w:r>
            <w:r w:rsidRPr="00A55947">
              <w:rPr>
                <w:rFonts w:ascii="Times New Roman" w:eastAsia="Times New Roman" w:hAnsi="Times New Roman" w:cs="Times New Roman"/>
                <w:i/>
                <w:iCs/>
                <w:sz w:val="20"/>
                <w:szCs w:val="20"/>
              </w:rPr>
              <w:t xml:space="preserve"> Territorial Boundaries, International Law, State Sovereignty, Territorial Disputes.</w:t>
            </w:r>
          </w:p>
        </w:tc>
      </w:tr>
    </w:tbl>
    <w:p w14:paraId="6B8590A7" w14:textId="77777777" w:rsidR="00A55947" w:rsidRDefault="00A55947" w:rsidP="0009793C">
      <w:pPr>
        <w:spacing w:after="0"/>
        <w:jc w:val="both"/>
        <w:rPr>
          <w:rFonts w:ascii="Times New Roman" w:eastAsia="Times New Roman" w:hAnsi="Times New Roman" w:cs="Times New Roman"/>
          <w:b/>
          <w:sz w:val="24"/>
          <w:szCs w:val="24"/>
        </w:rPr>
      </w:pPr>
    </w:p>
    <w:p w14:paraId="6A565A37" w14:textId="735A5541" w:rsidR="0009793C" w:rsidRDefault="0009793C" w:rsidP="0009793C">
      <w:pPr>
        <w:spacing w:after="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INTRODUCTION</w:t>
      </w:r>
    </w:p>
    <w:p w14:paraId="32D95E15" w14:textId="77777777" w:rsidR="00170D2B" w:rsidRDefault="001436D8" w:rsidP="00170D2B">
      <w:pPr>
        <w:jc w:val="both"/>
        <w:rPr>
          <w:rFonts w:ascii="Times New Roman" w:hAnsi="Times New Roman" w:cs="Times New Roman"/>
        </w:rPr>
      </w:pPr>
      <w:r>
        <w:rPr>
          <w:rFonts w:ascii="Times New Roman" w:hAnsi="Times New Roman" w:cs="Times New Roman"/>
        </w:rPr>
        <w:tab/>
      </w:r>
      <w:r w:rsidR="00170D2B" w:rsidRPr="00170D2B">
        <w:rPr>
          <w:rFonts w:ascii="Times New Roman" w:hAnsi="Times New Roman" w:cs="Times New Roman"/>
        </w:rPr>
        <w:t xml:space="preserve">Territory is one of the essential elements determining the existence of a state. Under international law, a state is generally recognized once it fulfils the elements set out in the Montevideo Convention of </w:t>
      </w:r>
      <w:r w:rsidR="00170D2B" w:rsidRPr="00170D2B">
        <w:rPr>
          <w:rFonts w:ascii="Times New Roman" w:hAnsi="Times New Roman" w:cs="Times New Roman"/>
        </w:rPr>
        <w:lastRenderedPageBreak/>
        <w:t>1933</w:t>
      </w:r>
      <w:r w:rsidR="00170D2B" w:rsidRPr="00170D2B">
        <w:rPr>
          <w:rFonts w:ascii="Times New Roman" w:hAnsi="Times New Roman" w:cs="Times New Roman"/>
          <w:vertAlign w:val="superscript"/>
        </w:rPr>
        <w:t xml:space="preserve"> </w:t>
      </w:r>
      <w:r w:rsidR="00455C43">
        <w:rPr>
          <w:rStyle w:val="FootnoteReference"/>
          <w:rFonts w:ascii="Times New Roman" w:hAnsi="Times New Roman" w:cs="Times New Roman"/>
        </w:rPr>
        <w:footnoteReference w:id="1"/>
      </w:r>
      <w:r w:rsidR="00455C43" w:rsidRPr="00BE14DD">
        <w:rPr>
          <w:rFonts w:ascii="Times New Roman" w:hAnsi="Times New Roman" w:cs="Times New Roman"/>
        </w:rPr>
        <w:t>, i.e.</w:t>
      </w:r>
      <w:r w:rsidR="00170D2B">
        <w:rPr>
          <w:rFonts w:ascii="Times New Roman" w:hAnsi="Times New Roman" w:cs="Times New Roman"/>
        </w:rPr>
        <w:t xml:space="preserve"> </w:t>
      </w:r>
      <w:r w:rsidR="00170D2B" w:rsidRPr="00170D2B">
        <w:rPr>
          <w:rFonts w:ascii="Times New Roman" w:hAnsi="Times New Roman" w:cs="Times New Roman"/>
        </w:rPr>
        <w:t>namely a permanent population, a defined territory, an effective government, and the capacity to enter into relations with other states. Among these elements, territory occupies a central position, as it is the geographical space within which the state exercises sovereignty, administers government, enforces law, and protects its citizens</w:t>
      </w:r>
      <w:r w:rsidR="00455C43" w:rsidRPr="00BE14DD">
        <w:rPr>
          <w:rFonts w:ascii="Times New Roman" w:hAnsi="Times New Roman" w:cs="Times New Roman"/>
        </w:rPr>
        <w:t>.</w:t>
      </w:r>
      <w:r w:rsidR="00455C43">
        <w:rPr>
          <w:rStyle w:val="FootnoteReference"/>
          <w:rFonts w:ascii="Times New Roman" w:hAnsi="Times New Roman" w:cs="Times New Roman"/>
        </w:rPr>
        <w:footnoteReference w:id="2"/>
      </w:r>
      <w:r w:rsidR="00170D2B">
        <w:rPr>
          <w:rFonts w:ascii="Times New Roman" w:hAnsi="Times New Roman" w:cs="Times New Roman"/>
        </w:rPr>
        <w:t xml:space="preserve"> </w:t>
      </w:r>
      <w:r w:rsidR="00170D2B" w:rsidRPr="00170D2B">
        <w:rPr>
          <w:rFonts w:ascii="Times New Roman" w:hAnsi="Times New Roman" w:cs="Times New Roman"/>
        </w:rPr>
        <w:t>State territory itself is not limited to land, but also encompasses the waters and airspace under state sovereignty</w:t>
      </w:r>
      <w:r w:rsidR="00455C43" w:rsidRPr="00BE14DD">
        <w:rPr>
          <w:rFonts w:ascii="Times New Roman" w:hAnsi="Times New Roman" w:cs="Times New Roman"/>
        </w:rPr>
        <w:t>.</w:t>
      </w:r>
      <w:r w:rsidR="00455C43">
        <w:rPr>
          <w:rStyle w:val="FootnoteReference"/>
          <w:rFonts w:ascii="Times New Roman" w:hAnsi="Times New Roman" w:cs="Times New Roman"/>
        </w:rPr>
        <w:footnoteReference w:id="3"/>
      </w:r>
      <w:r w:rsidR="00455C43" w:rsidRPr="00BE14DD">
        <w:rPr>
          <w:rFonts w:ascii="Times New Roman" w:hAnsi="Times New Roman" w:cs="Times New Roman"/>
        </w:rPr>
        <w:t xml:space="preserve"> </w:t>
      </w:r>
    </w:p>
    <w:p w14:paraId="1BD88B59" w14:textId="0870630E" w:rsidR="00455C43" w:rsidRPr="00BE14DD" w:rsidRDefault="00170D2B" w:rsidP="00170D2B">
      <w:pPr>
        <w:ind w:firstLine="720"/>
        <w:jc w:val="both"/>
        <w:rPr>
          <w:rFonts w:ascii="Times New Roman" w:hAnsi="Times New Roman" w:cs="Times New Roman"/>
        </w:rPr>
      </w:pPr>
      <w:r w:rsidRPr="00170D2B">
        <w:rPr>
          <w:rFonts w:ascii="Times New Roman" w:hAnsi="Times New Roman" w:cs="Times New Roman"/>
        </w:rPr>
        <w:t>Clarity of territorial boundaries allows a state to govern effectively, safeguard national security, manage natural resources, and protect the interests of its population; conversely, unresolved boundaries tend to generate legal and political problems that strain interstate relations</w:t>
      </w:r>
      <w:r w:rsidR="00455C43" w:rsidRPr="00BE14DD">
        <w:rPr>
          <w:rFonts w:ascii="Times New Roman" w:hAnsi="Times New Roman" w:cs="Times New Roman"/>
        </w:rPr>
        <w:t>.</w:t>
      </w:r>
      <w:r w:rsidR="00455C43">
        <w:rPr>
          <w:rStyle w:val="FootnoteReference"/>
          <w:rFonts w:ascii="Times New Roman" w:hAnsi="Times New Roman" w:cs="Times New Roman"/>
        </w:rPr>
        <w:footnoteReference w:id="4"/>
      </w:r>
      <w:r>
        <w:rPr>
          <w:rFonts w:ascii="Times New Roman" w:hAnsi="Times New Roman" w:cs="Times New Roman"/>
        </w:rPr>
        <w:t xml:space="preserve"> </w:t>
      </w:r>
      <w:r w:rsidRPr="00170D2B">
        <w:rPr>
          <w:rFonts w:ascii="Times New Roman" w:hAnsi="Times New Roman" w:cs="Times New Roman"/>
        </w:rPr>
        <w:t xml:space="preserve">This issue carries growing strategic significance as political, economic, trade, and </w:t>
      </w:r>
      <w:proofErr w:type="spellStart"/>
      <w:r w:rsidRPr="00170D2B">
        <w:rPr>
          <w:rFonts w:ascii="Times New Roman" w:hAnsi="Times New Roman" w:cs="Times New Roman"/>
        </w:rPr>
        <w:t>defense</w:t>
      </w:r>
      <w:proofErr w:type="spellEnd"/>
      <w:r w:rsidRPr="00170D2B">
        <w:rPr>
          <w:rFonts w:ascii="Times New Roman" w:hAnsi="Times New Roman" w:cs="Times New Roman"/>
        </w:rPr>
        <w:t xml:space="preserve"> interactions between states intensify, making certainty over territorial boundaries increasingly indispensable</w:t>
      </w:r>
      <w:r w:rsidR="00455C43" w:rsidRPr="00BE14DD">
        <w:rPr>
          <w:rFonts w:ascii="Times New Roman" w:hAnsi="Times New Roman" w:cs="Times New Roman"/>
        </w:rPr>
        <w:t>.</w:t>
      </w:r>
      <w:r w:rsidR="00455C43">
        <w:rPr>
          <w:rStyle w:val="FootnoteReference"/>
          <w:rFonts w:ascii="Times New Roman" w:hAnsi="Times New Roman" w:cs="Times New Roman"/>
        </w:rPr>
        <w:footnoteReference w:id="5"/>
      </w:r>
    </w:p>
    <w:p w14:paraId="600F4B8B" w14:textId="03683685" w:rsidR="00455C43" w:rsidRPr="00BE14DD" w:rsidRDefault="00170D2B" w:rsidP="00170D2B">
      <w:pPr>
        <w:ind w:firstLine="720"/>
        <w:jc w:val="both"/>
        <w:rPr>
          <w:rFonts w:ascii="Times New Roman" w:hAnsi="Times New Roman" w:cs="Times New Roman"/>
        </w:rPr>
      </w:pPr>
      <w:r w:rsidRPr="00170D2B">
        <w:rPr>
          <w:rFonts w:ascii="Times New Roman" w:hAnsi="Times New Roman" w:cs="Times New Roman"/>
        </w:rPr>
        <w:t>Two dimensions in particular drive the salience of territorial boundaries. First, an economic dimension: many border areas</w:t>
      </w:r>
      <w:r>
        <w:rPr>
          <w:rFonts w:ascii="Times New Roman" w:hAnsi="Times New Roman" w:cs="Times New Roman"/>
        </w:rPr>
        <w:t xml:space="preserve"> </w:t>
      </w:r>
      <w:r w:rsidRPr="00170D2B">
        <w:rPr>
          <w:rFonts w:ascii="Times New Roman" w:hAnsi="Times New Roman" w:cs="Times New Roman"/>
        </w:rPr>
        <w:t>especially maritime zones hold substantial resource potential (petroleum, gas, fisheries, minerals), which pushes states to seek certainty over their jurisdiction and is frequently a source of dispute</w:t>
      </w:r>
      <w:r w:rsidR="00455C43" w:rsidRPr="00BE14DD">
        <w:rPr>
          <w:rFonts w:ascii="Times New Roman" w:hAnsi="Times New Roman" w:cs="Times New Roman"/>
        </w:rPr>
        <w:t>.</w:t>
      </w:r>
      <w:r w:rsidR="00455C43">
        <w:rPr>
          <w:rStyle w:val="FootnoteReference"/>
          <w:rFonts w:ascii="Times New Roman" w:hAnsi="Times New Roman" w:cs="Times New Roman"/>
        </w:rPr>
        <w:footnoteReference w:id="6"/>
      </w:r>
      <w:r>
        <w:rPr>
          <w:rFonts w:ascii="Times New Roman" w:hAnsi="Times New Roman" w:cs="Times New Roman"/>
        </w:rPr>
        <w:t xml:space="preserve"> </w:t>
      </w:r>
      <w:r w:rsidRPr="00170D2B">
        <w:rPr>
          <w:rFonts w:ascii="Times New Roman" w:hAnsi="Times New Roman" w:cs="Times New Roman"/>
        </w:rPr>
        <w:t>Second, a security dimension: clear boundaries enable a state to monitor its territory, deter violations of sovereignty, and address transnational crimes such as smuggling and human trafficking</w:t>
      </w:r>
      <w:r w:rsidR="00455C43" w:rsidRPr="00BE14DD">
        <w:rPr>
          <w:rFonts w:ascii="Times New Roman" w:hAnsi="Times New Roman" w:cs="Times New Roman"/>
        </w:rPr>
        <w:t>.</w:t>
      </w:r>
      <w:r w:rsidR="00455C43">
        <w:rPr>
          <w:rStyle w:val="FootnoteReference"/>
          <w:rFonts w:ascii="Times New Roman" w:hAnsi="Times New Roman" w:cs="Times New Roman"/>
        </w:rPr>
        <w:footnoteReference w:id="7"/>
      </w:r>
      <w:r>
        <w:rPr>
          <w:rFonts w:ascii="Times New Roman" w:hAnsi="Times New Roman" w:cs="Times New Roman"/>
        </w:rPr>
        <w:t xml:space="preserve"> </w:t>
      </w:r>
      <w:r w:rsidRPr="00170D2B">
        <w:rPr>
          <w:rFonts w:ascii="Times New Roman" w:hAnsi="Times New Roman" w:cs="Times New Roman"/>
        </w:rPr>
        <w:t>These overlapping interests make territorial boundary disputes inherently complex, involving legal, political, economic, historical, and strategic considerations at once</w:t>
      </w:r>
      <w:r w:rsidR="00455C43" w:rsidRPr="00BE14DD">
        <w:rPr>
          <w:rFonts w:ascii="Times New Roman" w:hAnsi="Times New Roman" w:cs="Times New Roman"/>
        </w:rPr>
        <w:t>.</w:t>
      </w:r>
      <w:r w:rsidR="00455C43">
        <w:rPr>
          <w:rStyle w:val="FootnoteReference"/>
          <w:rFonts w:ascii="Times New Roman" w:hAnsi="Times New Roman" w:cs="Times New Roman"/>
        </w:rPr>
        <w:footnoteReference w:id="8"/>
      </w:r>
    </w:p>
    <w:p w14:paraId="15CDCC11" w14:textId="49BDAF7D" w:rsidR="00455C43" w:rsidRPr="00170D2B" w:rsidRDefault="00170D2B" w:rsidP="00170D2B">
      <w:pPr>
        <w:ind w:firstLine="720"/>
        <w:jc w:val="both"/>
      </w:pPr>
      <w:r w:rsidRPr="00170D2B">
        <w:rPr>
          <w:rFonts w:ascii="Times New Roman" w:hAnsi="Times New Roman" w:cs="Times New Roman"/>
        </w:rPr>
        <w:t xml:space="preserve">Real-world cases illustrate the stakes: the </w:t>
      </w:r>
      <w:proofErr w:type="spellStart"/>
      <w:r w:rsidRPr="00170D2B">
        <w:rPr>
          <w:rFonts w:ascii="Times New Roman" w:hAnsi="Times New Roman" w:cs="Times New Roman"/>
        </w:rPr>
        <w:t>Ambalat</w:t>
      </w:r>
      <w:proofErr w:type="spellEnd"/>
      <w:r w:rsidRPr="00170D2B">
        <w:rPr>
          <w:rFonts w:ascii="Times New Roman" w:hAnsi="Times New Roman" w:cs="Times New Roman"/>
        </w:rPr>
        <w:t xml:space="preserve"> dispute between Indonesia and Malaysia over a resource-rich maritime area in the Sulawesi Sea, and the South China Sea dispute, which involves multiple states and affects regional stability</w:t>
      </w:r>
      <w:r w:rsidR="00455C43" w:rsidRPr="00BE14DD">
        <w:rPr>
          <w:rFonts w:ascii="Times New Roman" w:hAnsi="Times New Roman" w:cs="Times New Roman"/>
        </w:rPr>
        <w:t>.</w:t>
      </w:r>
      <w:r w:rsidR="00455C43">
        <w:rPr>
          <w:rStyle w:val="FootnoteReference"/>
          <w:rFonts w:ascii="Times New Roman" w:hAnsi="Times New Roman" w:cs="Times New Roman"/>
        </w:rPr>
        <w:footnoteReference w:id="9"/>
      </w:r>
      <w:r>
        <w:t xml:space="preserve"> </w:t>
      </w:r>
      <w:r w:rsidRPr="00170D2B">
        <w:rPr>
          <w:rFonts w:ascii="Times New Roman" w:hAnsi="Times New Roman" w:cs="Times New Roman"/>
        </w:rPr>
        <w:t xml:space="preserve">Although international law already offers a body of instruments to govern territorial delimitation the UN Charter, customary international law, international treaties, and the United Nations Convention on the Law of the Sea (UNCLOS) 1982territorial boundary disputes continue to recur in practice. This persistence, despite the availability of a seemingly comprehensive legal framework, points to a gap in understanding how these sources of law operate together and how the available dispute-settlement mechanisms function in practice. This study therefore aims to </w:t>
      </w:r>
      <w:proofErr w:type="spellStart"/>
      <w:r w:rsidRPr="00170D2B">
        <w:rPr>
          <w:rFonts w:ascii="Times New Roman" w:hAnsi="Times New Roman" w:cs="Times New Roman"/>
        </w:rPr>
        <w:t>analyze</w:t>
      </w:r>
      <w:proofErr w:type="spellEnd"/>
      <w:r w:rsidRPr="00170D2B">
        <w:rPr>
          <w:rFonts w:ascii="Times New Roman" w:hAnsi="Times New Roman" w:cs="Times New Roman"/>
        </w:rPr>
        <w:t xml:space="preserve"> the regulation of the determination of national territorial boundaries under international law and to examine the mechanisms recognized in international law for resolving territorial boundary disputes between states</w:t>
      </w:r>
      <w:r>
        <w:t xml:space="preserve"> </w:t>
      </w:r>
      <w:r w:rsidR="00455C43">
        <w:rPr>
          <w:rStyle w:val="FootnoteReference"/>
          <w:rFonts w:ascii="Times New Roman" w:hAnsi="Times New Roman" w:cs="Times New Roman"/>
        </w:rPr>
        <w:footnoteReference w:id="10"/>
      </w:r>
      <w:r w:rsidR="00455C43" w:rsidRPr="00BE14DD">
        <w:rPr>
          <w:rFonts w:ascii="Times New Roman" w:hAnsi="Times New Roman" w:cs="Times New Roman"/>
        </w:rPr>
        <w:t>.</w:t>
      </w:r>
    </w:p>
    <w:p w14:paraId="173BA033" w14:textId="77777777" w:rsidR="006E71E9" w:rsidRDefault="006E71E9" w:rsidP="00455C43">
      <w:pPr>
        <w:rPr>
          <w:rFonts w:ascii="Times New Roman" w:eastAsia="Times New Roman" w:hAnsi="Times New Roman" w:cs="Times New Roman"/>
          <w:b/>
          <w:sz w:val="24"/>
          <w:szCs w:val="24"/>
        </w:rPr>
      </w:pPr>
    </w:p>
    <w:p w14:paraId="2EF8D019" w14:textId="2F31581D" w:rsidR="00441B4D" w:rsidRDefault="00C34D4C" w:rsidP="00455C43">
      <w:pPr>
        <w:rPr>
          <w:rFonts w:ascii="Times New Roman" w:eastAsia="Times New Roman" w:hAnsi="Times New Roman" w:cs="Times New Roman"/>
          <w:b/>
          <w:sz w:val="24"/>
          <w:szCs w:val="24"/>
        </w:rPr>
      </w:pPr>
      <w:r w:rsidRPr="00C34D4C">
        <w:rPr>
          <w:rFonts w:ascii="Times New Roman" w:eastAsia="Times New Roman" w:hAnsi="Times New Roman" w:cs="Times New Roman"/>
          <w:b/>
          <w:sz w:val="24"/>
          <w:szCs w:val="24"/>
        </w:rPr>
        <w:t>METHODOLOGY</w:t>
      </w:r>
    </w:p>
    <w:p w14:paraId="696DA8FD" w14:textId="0CD53195" w:rsidR="00441B4D" w:rsidRPr="00441B4D" w:rsidRDefault="00337A1B" w:rsidP="00337A1B">
      <w:pPr>
        <w:jc w:val="both"/>
        <w:rPr>
          <w:rFonts w:ascii="Times New Roman" w:hAnsi="Times New Roman" w:cs="Times New Roman"/>
        </w:rPr>
      </w:pPr>
      <w:r>
        <w:rPr>
          <w:rFonts w:ascii="Times New Roman" w:hAnsi="Times New Roman" w:cs="Times New Roman"/>
        </w:rPr>
        <w:tab/>
      </w:r>
      <w:r w:rsidRPr="00337A1B">
        <w:rPr>
          <w:rFonts w:ascii="Times New Roman" w:hAnsi="Times New Roman" w:cs="Times New Roman"/>
        </w:rPr>
        <w:t xml:space="preserve">This study employs a normative legal research method, using a statutory approach and a conceptual approach, selected because the object of analysis is a system of legal norms rather than an empirical social phenomenon. Data were collected through a literature (documentary) study, in which primary, secondary, and tertiary legal materials were identified and selected based on their direct relevance to the regulation of state territorial boundaries and the settlement of territorial disputes under international law. The primary legal materials consist of the UN Charter, UNCLOS 1982, the Statute of the International Court of Justice, and other relevant international treaties, while the secondary legal materials comprise textbooks, scholarly journal articles, and prior research findings obtained through academic literature and library sources. The collected materials were then </w:t>
      </w:r>
      <w:proofErr w:type="spellStart"/>
      <w:r w:rsidRPr="00337A1B">
        <w:rPr>
          <w:rFonts w:ascii="Times New Roman" w:hAnsi="Times New Roman" w:cs="Times New Roman"/>
        </w:rPr>
        <w:t>analyzed</w:t>
      </w:r>
      <w:proofErr w:type="spellEnd"/>
      <w:r w:rsidRPr="00337A1B">
        <w:rPr>
          <w:rFonts w:ascii="Times New Roman" w:hAnsi="Times New Roman" w:cs="Times New Roman"/>
        </w:rPr>
        <w:t xml:space="preserve"> qualitatively through legal interpretation systematically examining and connecting the relevant legal provisions to explain how international law regulates territorial boundaries and resolves related disputes. A qualitative approach was chosen because the study seeks to interpret the meaning, scope, and application of these legal norms, rather than to measure them quantitatively.</w:t>
      </w:r>
    </w:p>
    <w:p w14:paraId="2C778A0B" w14:textId="77777777" w:rsidR="00441B4D" w:rsidRDefault="00441B4D" w:rsidP="0009793C">
      <w:pPr>
        <w:spacing w:after="0" w:line="240" w:lineRule="auto"/>
        <w:rPr>
          <w:rFonts w:ascii="Times New Roman" w:eastAsia="Times New Roman" w:hAnsi="Times New Roman" w:cs="Times New Roman"/>
          <w:b/>
          <w:sz w:val="24"/>
          <w:szCs w:val="24"/>
        </w:rPr>
      </w:pPr>
    </w:p>
    <w:p w14:paraId="20478227" w14:textId="683C3943" w:rsidR="0009793C" w:rsidRDefault="0009793C" w:rsidP="0009793C">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RESULTS AND DISCUSSION</w:t>
      </w:r>
    </w:p>
    <w:p w14:paraId="2DAB6515" w14:textId="4A17B459" w:rsidR="00BE2169" w:rsidRPr="00BE2169" w:rsidRDefault="00BE2169" w:rsidP="00065AF0">
      <w:pPr>
        <w:jc w:val="both"/>
        <w:rPr>
          <w:rFonts w:ascii="Times New Roman" w:hAnsi="Times New Roman" w:cs="Times New Roman"/>
          <w:b/>
          <w:bCs/>
          <w:i/>
          <w:iCs/>
        </w:rPr>
      </w:pPr>
      <w:r w:rsidRPr="00BE2169">
        <w:rPr>
          <w:rFonts w:ascii="Times New Roman" w:hAnsi="Times New Roman" w:cs="Times New Roman"/>
          <w:b/>
          <w:bCs/>
          <w:i/>
          <w:iCs/>
        </w:rPr>
        <w:t>a. Regulation of the determination of state territorial boundaries according to international law.</w:t>
      </w:r>
    </w:p>
    <w:p w14:paraId="23519665" w14:textId="77777777" w:rsidR="00BE2169" w:rsidRPr="00496AAA" w:rsidRDefault="00BE2169" w:rsidP="00065AF0">
      <w:pPr>
        <w:jc w:val="both"/>
        <w:rPr>
          <w:rFonts w:ascii="Times New Roman" w:hAnsi="Times New Roman" w:cs="Times New Roman"/>
          <w:b/>
          <w:bCs/>
        </w:rPr>
      </w:pPr>
      <w:r w:rsidRPr="00496AAA">
        <w:rPr>
          <w:rFonts w:ascii="Times New Roman" w:hAnsi="Times New Roman" w:cs="Times New Roman"/>
          <w:b/>
          <w:bCs/>
        </w:rPr>
        <w:t>1. The Concept of State Territory in International Law</w:t>
      </w:r>
    </w:p>
    <w:p w14:paraId="0C036A46" w14:textId="50D2C4AD" w:rsidR="00BE2169" w:rsidRPr="00496AAA" w:rsidRDefault="00755805" w:rsidP="00065AF0">
      <w:pPr>
        <w:ind w:firstLine="720"/>
        <w:jc w:val="both"/>
        <w:rPr>
          <w:rFonts w:ascii="Times New Roman" w:hAnsi="Times New Roman" w:cs="Times New Roman"/>
        </w:rPr>
      </w:pPr>
      <w:r w:rsidRPr="00755805">
        <w:rPr>
          <w:rFonts w:ascii="Times New Roman" w:hAnsi="Times New Roman" w:cs="Times New Roman"/>
        </w:rPr>
        <w:t>Territory is one of the essential elements in the formation of a state. In international law, territory is understood as the geographical space within which a state exercises its sovereignty and jurisdiction. Beyond serving as a state's physical boundary, territory is also the basis for the exercise of state authority over its population, natural resources, and activities occurring within it</w:t>
      </w:r>
      <w:r w:rsidR="00BE2169" w:rsidRPr="00496AAA">
        <w:rPr>
          <w:rFonts w:ascii="Times New Roman" w:hAnsi="Times New Roman" w:cs="Times New Roman"/>
        </w:rPr>
        <w:t>.</w:t>
      </w:r>
      <w:r w:rsidR="00BE2169">
        <w:rPr>
          <w:rStyle w:val="FootnoteReference"/>
          <w:rFonts w:ascii="Times New Roman" w:hAnsi="Times New Roman" w:cs="Times New Roman"/>
        </w:rPr>
        <w:footnoteReference w:id="11"/>
      </w:r>
    </w:p>
    <w:p w14:paraId="7A10C123" w14:textId="09AFA861" w:rsidR="00BE2169" w:rsidRPr="00496AAA" w:rsidRDefault="00755805" w:rsidP="00065AF0">
      <w:pPr>
        <w:ind w:firstLine="720"/>
        <w:jc w:val="both"/>
        <w:rPr>
          <w:rFonts w:ascii="Times New Roman" w:hAnsi="Times New Roman" w:cs="Times New Roman"/>
        </w:rPr>
      </w:pPr>
      <w:r w:rsidRPr="00755805">
        <w:rPr>
          <w:rFonts w:ascii="Times New Roman" w:hAnsi="Times New Roman" w:cs="Times New Roman"/>
        </w:rPr>
        <w:t xml:space="preserve">Territorial sovereignty grants a state the exclusive right to regulate all matters within its territory free from external interference, though this sovereignty remains bounded by international law governing interstate relations. Clarity of territorial boundaries is therefore essential to ensure legal certainty and prevent disputes, as illustrated by the </w:t>
      </w:r>
      <w:proofErr w:type="spellStart"/>
      <w:r w:rsidRPr="00755805">
        <w:rPr>
          <w:rFonts w:ascii="Times New Roman" w:hAnsi="Times New Roman" w:cs="Times New Roman"/>
        </w:rPr>
        <w:t>Ambalat</w:t>
      </w:r>
      <w:proofErr w:type="spellEnd"/>
      <w:r w:rsidRPr="00755805">
        <w:rPr>
          <w:rFonts w:ascii="Times New Roman" w:hAnsi="Times New Roman" w:cs="Times New Roman"/>
        </w:rPr>
        <w:t xml:space="preserve"> case between Indonesia and Malaysia, where overlapping maritime claims arose precisely because the boundary had never been unambiguously settled</w:t>
      </w:r>
      <w:r w:rsidR="00BE2169" w:rsidRPr="00496AAA">
        <w:rPr>
          <w:rFonts w:ascii="Times New Roman" w:hAnsi="Times New Roman" w:cs="Times New Roman"/>
        </w:rPr>
        <w:t>.</w:t>
      </w:r>
      <w:r w:rsidR="00BE2169">
        <w:rPr>
          <w:rStyle w:val="FootnoteReference"/>
          <w:rFonts w:ascii="Times New Roman" w:hAnsi="Times New Roman" w:cs="Times New Roman"/>
        </w:rPr>
        <w:footnoteReference w:id="12"/>
      </w:r>
    </w:p>
    <w:p w14:paraId="6FCE6761" w14:textId="68612D2C" w:rsidR="00BE2169" w:rsidRPr="00496AAA" w:rsidRDefault="00755805" w:rsidP="00065AF0">
      <w:pPr>
        <w:ind w:firstLine="720"/>
        <w:jc w:val="both"/>
        <w:rPr>
          <w:rFonts w:ascii="Times New Roman" w:hAnsi="Times New Roman" w:cs="Times New Roman"/>
        </w:rPr>
      </w:pPr>
      <w:r w:rsidRPr="00755805">
        <w:rPr>
          <w:rFonts w:ascii="Times New Roman" w:hAnsi="Times New Roman" w:cs="Times New Roman"/>
        </w:rPr>
        <w:t>In practice, state territory encompasses land, water, and airspace, each of which carries distinct legal characteristics and consequently requires separate regulation under international law</w:t>
      </w:r>
      <w:r w:rsidR="00BE2169" w:rsidRPr="00496AAA">
        <w:rPr>
          <w:rFonts w:ascii="Times New Roman" w:hAnsi="Times New Roman" w:cs="Times New Roman"/>
        </w:rPr>
        <w:t>.</w:t>
      </w:r>
      <w:r w:rsidR="00BE2169">
        <w:rPr>
          <w:rStyle w:val="FootnoteReference"/>
          <w:rFonts w:ascii="Times New Roman" w:hAnsi="Times New Roman" w:cs="Times New Roman"/>
        </w:rPr>
        <w:footnoteReference w:id="13"/>
      </w:r>
    </w:p>
    <w:p w14:paraId="5C60E441" w14:textId="77777777" w:rsidR="00BE2169" w:rsidRPr="00496AAA" w:rsidRDefault="00BE2169" w:rsidP="00065AF0">
      <w:pPr>
        <w:jc w:val="both"/>
        <w:rPr>
          <w:rFonts w:ascii="Times New Roman" w:hAnsi="Times New Roman" w:cs="Times New Roman"/>
          <w:b/>
          <w:bCs/>
        </w:rPr>
      </w:pPr>
      <w:r w:rsidRPr="00496AAA">
        <w:rPr>
          <w:rFonts w:ascii="Times New Roman" w:hAnsi="Times New Roman" w:cs="Times New Roman"/>
          <w:b/>
          <w:bCs/>
        </w:rPr>
        <w:t>2. Territorial Arrangements Under the UN Charter</w:t>
      </w:r>
    </w:p>
    <w:p w14:paraId="0C2180BC" w14:textId="0F9943D0" w:rsidR="00BE2169" w:rsidRPr="00496AAA" w:rsidRDefault="00755805" w:rsidP="00065AF0">
      <w:pPr>
        <w:ind w:firstLine="720"/>
        <w:jc w:val="both"/>
        <w:rPr>
          <w:rFonts w:ascii="Times New Roman" w:hAnsi="Times New Roman" w:cs="Times New Roman"/>
        </w:rPr>
      </w:pPr>
      <w:r w:rsidRPr="00755805">
        <w:rPr>
          <w:rFonts w:ascii="Times New Roman" w:hAnsi="Times New Roman" w:cs="Times New Roman"/>
        </w:rPr>
        <w:t>The regulation of state territory is closely tied to the foundational principles of the Charter of the United Nations, which became the primary framework for maintaining international order following World War II</w:t>
      </w:r>
      <w:r w:rsidR="00BE2169" w:rsidRPr="00496AAA">
        <w:rPr>
          <w:rFonts w:ascii="Times New Roman" w:hAnsi="Times New Roman" w:cs="Times New Roman"/>
        </w:rPr>
        <w:t>.</w:t>
      </w:r>
      <w:r w:rsidR="00BE2169">
        <w:rPr>
          <w:rStyle w:val="FootnoteReference"/>
          <w:rFonts w:ascii="Times New Roman" w:hAnsi="Times New Roman" w:cs="Times New Roman"/>
        </w:rPr>
        <w:footnoteReference w:id="14"/>
      </w:r>
    </w:p>
    <w:p w14:paraId="7C546E15" w14:textId="50E1504C" w:rsidR="00BE2169" w:rsidRPr="00496AAA" w:rsidRDefault="00755805" w:rsidP="00065AF0">
      <w:pPr>
        <w:ind w:firstLine="720"/>
        <w:jc w:val="both"/>
        <w:rPr>
          <w:rFonts w:ascii="Times New Roman" w:hAnsi="Times New Roman" w:cs="Times New Roman"/>
        </w:rPr>
      </w:pPr>
      <w:r w:rsidRPr="00755805">
        <w:rPr>
          <w:rFonts w:ascii="Times New Roman" w:hAnsi="Times New Roman" w:cs="Times New Roman"/>
        </w:rPr>
        <w:t>Article 2(4) of the UN Charter obliges every state to refrain from the threat or use of force against the territorial integrity and political independence of other states, affirming that territorial change cannot be achieved through aggression or military force</w:t>
      </w:r>
      <w:r w:rsidR="00BE2169" w:rsidRPr="00496AAA">
        <w:rPr>
          <w:rFonts w:ascii="Times New Roman" w:hAnsi="Times New Roman" w:cs="Times New Roman"/>
        </w:rPr>
        <w:t>.</w:t>
      </w:r>
      <w:r w:rsidR="00BE2169">
        <w:rPr>
          <w:rStyle w:val="FootnoteReference"/>
          <w:rFonts w:ascii="Times New Roman" w:hAnsi="Times New Roman" w:cs="Times New Roman"/>
        </w:rPr>
        <w:footnoteReference w:id="15"/>
      </w:r>
    </w:p>
    <w:p w14:paraId="4E1007E6" w14:textId="48457479" w:rsidR="00BE2169" w:rsidRPr="00496AAA" w:rsidRDefault="00755805" w:rsidP="00065AF0">
      <w:pPr>
        <w:ind w:firstLine="720"/>
        <w:jc w:val="both"/>
        <w:rPr>
          <w:rFonts w:ascii="Times New Roman" w:hAnsi="Times New Roman" w:cs="Times New Roman"/>
        </w:rPr>
      </w:pPr>
      <w:r w:rsidRPr="00755805">
        <w:rPr>
          <w:rFonts w:ascii="Times New Roman" w:hAnsi="Times New Roman" w:cs="Times New Roman"/>
        </w:rPr>
        <w:t>This principle carries particular weight in territorial boundary disputes. Whereas territory was historically often acquired through war and conquest, the UN Charter foreclosed such methods, requiring states to pursue peaceful means in resolving territorial disputes in accordance with international law</w:t>
      </w:r>
      <w:r w:rsidR="00BE2169" w:rsidRPr="00496AAA">
        <w:rPr>
          <w:rFonts w:ascii="Times New Roman" w:hAnsi="Times New Roman" w:cs="Times New Roman"/>
        </w:rPr>
        <w:t>.</w:t>
      </w:r>
      <w:r w:rsidR="00BE2169">
        <w:rPr>
          <w:rStyle w:val="FootnoteReference"/>
          <w:rFonts w:ascii="Times New Roman" w:hAnsi="Times New Roman" w:cs="Times New Roman"/>
        </w:rPr>
        <w:footnoteReference w:id="16"/>
      </w:r>
    </w:p>
    <w:p w14:paraId="580BEE86" w14:textId="65AA331E" w:rsidR="00BE2169" w:rsidRPr="00496AAA" w:rsidRDefault="00755805" w:rsidP="00065AF0">
      <w:pPr>
        <w:ind w:firstLine="720"/>
        <w:jc w:val="both"/>
        <w:rPr>
          <w:rFonts w:ascii="Times New Roman" w:hAnsi="Times New Roman" w:cs="Times New Roman"/>
        </w:rPr>
      </w:pPr>
      <w:r w:rsidRPr="00755805">
        <w:rPr>
          <w:rFonts w:ascii="Times New Roman" w:hAnsi="Times New Roman" w:cs="Times New Roman"/>
        </w:rPr>
        <w:t>Article 2(3) further obliges states to settle international disputes peacefully so as not to endanger international peace and security</w:t>
      </w:r>
      <w:r w:rsidR="00C34D4C">
        <w:rPr>
          <w:rFonts w:ascii="Times New Roman" w:hAnsi="Times New Roman" w:cs="Times New Roman"/>
        </w:rPr>
        <w:t xml:space="preserve">. A </w:t>
      </w:r>
      <w:r w:rsidRPr="00755805">
        <w:rPr>
          <w:rFonts w:ascii="Times New Roman" w:hAnsi="Times New Roman" w:cs="Times New Roman"/>
        </w:rPr>
        <w:t>provision that underlies the various boundary dispute settlement mechanisms discussed later in this section</w:t>
      </w:r>
      <w:r w:rsidR="00BE2169" w:rsidRPr="00496AAA">
        <w:rPr>
          <w:rFonts w:ascii="Times New Roman" w:hAnsi="Times New Roman" w:cs="Times New Roman"/>
        </w:rPr>
        <w:t>.</w:t>
      </w:r>
      <w:r w:rsidR="00BE2169">
        <w:rPr>
          <w:rStyle w:val="FootnoteReference"/>
          <w:rFonts w:ascii="Times New Roman" w:hAnsi="Times New Roman" w:cs="Times New Roman"/>
        </w:rPr>
        <w:footnoteReference w:id="17"/>
      </w:r>
    </w:p>
    <w:p w14:paraId="5CCA8111" w14:textId="77777777" w:rsidR="00BE2169" w:rsidRPr="00496AAA" w:rsidRDefault="00BE2169" w:rsidP="00065AF0">
      <w:pPr>
        <w:jc w:val="both"/>
        <w:rPr>
          <w:rFonts w:ascii="Times New Roman" w:hAnsi="Times New Roman" w:cs="Times New Roman"/>
          <w:b/>
          <w:bCs/>
        </w:rPr>
      </w:pPr>
      <w:r w:rsidRPr="00496AAA">
        <w:rPr>
          <w:rFonts w:ascii="Times New Roman" w:hAnsi="Times New Roman" w:cs="Times New Roman"/>
          <w:b/>
          <w:bCs/>
        </w:rPr>
        <w:t>3. Arrangements Based on International Customary Law</w:t>
      </w:r>
    </w:p>
    <w:p w14:paraId="53FA42A4" w14:textId="12182959" w:rsidR="00BE2169" w:rsidRPr="00496AAA" w:rsidRDefault="00755805" w:rsidP="00755805">
      <w:pPr>
        <w:ind w:firstLine="720"/>
        <w:jc w:val="both"/>
        <w:rPr>
          <w:rFonts w:ascii="Times New Roman" w:hAnsi="Times New Roman" w:cs="Times New Roman"/>
        </w:rPr>
      </w:pPr>
      <w:r w:rsidRPr="00755805">
        <w:rPr>
          <w:rFonts w:ascii="Times New Roman" w:hAnsi="Times New Roman" w:cs="Times New Roman"/>
        </w:rPr>
        <w:t>Alongside the UN Charter and international treaties, customary international law plays a significant role in determining state territorial boundaries. It is formed through consistent state practice accepted as legally binding (</w:t>
      </w:r>
      <w:proofErr w:type="spellStart"/>
      <w:r w:rsidRPr="00755805">
        <w:rPr>
          <w:rFonts w:ascii="Times New Roman" w:hAnsi="Times New Roman" w:cs="Times New Roman"/>
        </w:rPr>
        <w:t>opinio</w:t>
      </w:r>
      <w:proofErr w:type="spellEnd"/>
      <w:r w:rsidRPr="00755805">
        <w:rPr>
          <w:rFonts w:ascii="Times New Roman" w:hAnsi="Times New Roman" w:cs="Times New Roman"/>
        </w:rPr>
        <w:t xml:space="preserve"> juris</w:t>
      </w:r>
      <w:r w:rsidR="00BE2169" w:rsidRPr="00496AAA">
        <w:rPr>
          <w:rFonts w:ascii="Times New Roman" w:hAnsi="Times New Roman" w:cs="Times New Roman"/>
        </w:rPr>
        <w:t>).</w:t>
      </w:r>
      <w:r w:rsidR="00BE2169">
        <w:rPr>
          <w:rStyle w:val="FootnoteReference"/>
          <w:rFonts w:ascii="Times New Roman" w:hAnsi="Times New Roman" w:cs="Times New Roman"/>
        </w:rPr>
        <w:footnoteReference w:id="18"/>
      </w:r>
      <w:r>
        <w:rPr>
          <w:rFonts w:ascii="Times New Roman" w:hAnsi="Times New Roman" w:cs="Times New Roman"/>
        </w:rPr>
        <w:t xml:space="preserve"> </w:t>
      </w:r>
      <w:r w:rsidRPr="00755805">
        <w:rPr>
          <w:rFonts w:ascii="Times New Roman" w:hAnsi="Times New Roman" w:cs="Times New Roman"/>
        </w:rPr>
        <w:t>Where no treaty clearly governs the boundary between disputed states, international courts often rely on customary international law as a basis for their decisions</w:t>
      </w:r>
      <w:r w:rsidR="00BE2169" w:rsidRPr="00496AAA">
        <w:rPr>
          <w:rFonts w:ascii="Times New Roman" w:hAnsi="Times New Roman" w:cs="Times New Roman"/>
        </w:rPr>
        <w:t>.</w:t>
      </w:r>
      <w:r w:rsidR="00BE2169">
        <w:rPr>
          <w:rStyle w:val="FootnoteReference"/>
          <w:rFonts w:ascii="Times New Roman" w:hAnsi="Times New Roman" w:cs="Times New Roman"/>
        </w:rPr>
        <w:footnoteReference w:id="19"/>
      </w:r>
    </w:p>
    <w:p w14:paraId="42DB7774" w14:textId="283B801F" w:rsidR="00BE2169" w:rsidRPr="00496AAA" w:rsidRDefault="00755805" w:rsidP="00065AF0">
      <w:pPr>
        <w:ind w:firstLine="720"/>
        <w:jc w:val="both"/>
        <w:rPr>
          <w:rFonts w:ascii="Times New Roman" w:hAnsi="Times New Roman" w:cs="Times New Roman"/>
        </w:rPr>
      </w:pPr>
      <w:r w:rsidRPr="00755805">
        <w:rPr>
          <w:rFonts w:ascii="Times New Roman" w:hAnsi="Times New Roman" w:cs="Times New Roman"/>
        </w:rPr>
        <w:t>Principles developed through customary international law include respect for existing territorial boundaries, the principle of effectiveness (</w:t>
      </w:r>
      <w:proofErr w:type="spellStart"/>
      <w:r w:rsidRPr="00755805">
        <w:rPr>
          <w:rFonts w:ascii="Times New Roman" w:hAnsi="Times New Roman" w:cs="Times New Roman"/>
        </w:rPr>
        <w:t>effectivités</w:t>
      </w:r>
      <w:proofErr w:type="spellEnd"/>
      <w:r w:rsidRPr="00755805">
        <w:rPr>
          <w:rFonts w:ascii="Times New Roman" w:hAnsi="Times New Roman" w:cs="Times New Roman"/>
        </w:rPr>
        <w:t xml:space="preserve">), and the principle of </w:t>
      </w:r>
      <w:proofErr w:type="spellStart"/>
      <w:r w:rsidRPr="00755805">
        <w:rPr>
          <w:rFonts w:ascii="Times New Roman" w:hAnsi="Times New Roman" w:cs="Times New Roman"/>
        </w:rPr>
        <w:t>uti</w:t>
      </w:r>
      <w:proofErr w:type="spellEnd"/>
      <w:r w:rsidRPr="00755805">
        <w:rPr>
          <w:rFonts w:ascii="Times New Roman" w:hAnsi="Times New Roman" w:cs="Times New Roman"/>
        </w:rPr>
        <w:t xml:space="preserve"> possidetis juris</w:t>
      </w:r>
      <w:r w:rsidR="00C34D4C">
        <w:rPr>
          <w:rFonts w:ascii="Times New Roman" w:hAnsi="Times New Roman" w:cs="Times New Roman"/>
        </w:rPr>
        <w:t>. T</w:t>
      </w:r>
      <w:r w:rsidRPr="00755805">
        <w:rPr>
          <w:rFonts w:ascii="Times New Roman" w:hAnsi="Times New Roman" w:cs="Times New Roman"/>
        </w:rPr>
        <w:t>he latter widely applied in delimiting the boundaries of newly independent states by preserving administrative boundaries inherited from the colonial period</w:t>
      </w:r>
      <w:r w:rsidR="00BE2169" w:rsidRPr="00496AAA">
        <w:rPr>
          <w:rFonts w:ascii="Times New Roman" w:hAnsi="Times New Roman" w:cs="Times New Roman"/>
        </w:rPr>
        <w:t>.</w:t>
      </w:r>
      <w:r w:rsidR="00BE2169">
        <w:rPr>
          <w:rStyle w:val="FootnoteReference"/>
          <w:rFonts w:ascii="Times New Roman" w:hAnsi="Times New Roman" w:cs="Times New Roman"/>
        </w:rPr>
        <w:footnoteReference w:id="20"/>
      </w:r>
      <w:r>
        <w:rPr>
          <w:rFonts w:ascii="Times New Roman" w:hAnsi="Times New Roman" w:cs="Times New Roman"/>
        </w:rPr>
        <w:t xml:space="preserve"> </w:t>
      </w:r>
      <w:r w:rsidRPr="00755805">
        <w:rPr>
          <w:rFonts w:ascii="Times New Roman" w:hAnsi="Times New Roman" w:cs="Times New Roman"/>
        </w:rPr>
        <w:t xml:space="preserve">These same principles were central to the International Court of Justice's reasoning in the </w:t>
      </w:r>
      <w:proofErr w:type="spellStart"/>
      <w:r w:rsidRPr="00755805">
        <w:rPr>
          <w:rFonts w:ascii="Times New Roman" w:hAnsi="Times New Roman" w:cs="Times New Roman"/>
        </w:rPr>
        <w:t>Sipadan-Ligitan</w:t>
      </w:r>
      <w:proofErr w:type="spellEnd"/>
      <w:r w:rsidRPr="00755805">
        <w:rPr>
          <w:rFonts w:ascii="Times New Roman" w:hAnsi="Times New Roman" w:cs="Times New Roman"/>
        </w:rPr>
        <w:t xml:space="preserve"> case between Indonesia and Malaysia, where the Court gave decisive weight to which state had exercised effective authority (</w:t>
      </w:r>
      <w:proofErr w:type="spellStart"/>
      <w:r w:rsidRPr="00755805">
        <w:rPr>
          <w:rFonts w:ascii="Times New Roman" w:hAnsi="Times New Roman" w:cs="Times New Roman"/>
        </w:rPr>
        <w:t>effectivités</w:t>
      </w:r>
      <w:proofErr w:type="spellEnd"/>
      <w:r w:rsidRPr="00755805">
        <w:rPr>
          <w:rFonts w:ascii="Times New Roman" w:hAnsi="Times New Roman" w:cs="Times New Roman"/>
        </w:rPr>
        <w:t>) over the islands, rather than to historical or treaty-based claims alone.</w:t>
      </w:r>
    </w:p>
    <w:p w14:paraId="788269DD" w14:textId="1D27D89D" w:rsidR="00BE2169" w:rsidRPr="00496AAA" w:rsidRDefault="00755805" w:rsidP="00065AF0">
      <w:pPr>
        <w:ind w:firstLine="720"/>
        <w:jc w:val="both"/>
        <w:rPr>
          <w:rFonts w:ascii="Times New Roman" w:hAnsi="Times New Roman" w:cs="Times New Roman"/>
        </w:rPr>
      </w:pPr>
      <w:r w:rsidRPr="00755805">
        <w:rPr>
          <w:rFonts w:ascii="Times New Roman" w:hAnsi="Times New Roman" w:cs="Times New Roman"/>
        </w:rPr>
        <w:t>The application of customary international law demonstrates that international law is derived not only from written treaties but also develops through state practices broadly accepted by the international community</w:t>
      </w:r>
      <w:r w:rsidR="00BE2169" w:rsidRPr="00496AAA">
        <w:rPr>
          <w:rFonts w:ascii="Times New Roman" w:hAnsi="Times New Roman" w:cs="Times New Roman"/>
        </w:rPr>
        <w:t>.</w:t>
      </w:r>
      <w:r w:rsidR="00BE2169">
        <w:rPr>
          <w:rStyle w:val="FootnoteReference"/>
          <w:rFonts w:ascii="Times New Roman" w:hAnsi="Times New Roman" w:cs="Times New Roman"/>
        </w:rPr>
        <w:footnoteReference w:id="21"/>
      </w:r>
    </w:p>
    <w:p w14:paraId="3E24437D" w14:textId="77777777" w:rsidR="00BE2169" w:rsidRPr="00496AAA" w:rsidRDefault="00BE2169" w:rsidP="00065AF0">
      <w:pPr>
        <w:jc w:val="both"/>
        <w:rPr>
          <w:rFonts w:ascii="Times New Roman" w:hAnsi="Times New Roman" w:cs="Times New Roman"/>
          <w:b/>
          <w:bCs/>
        </w:rPr>
      </w:pPr>
      <w:r w:rsidRPr="00496AAA">
        <w:rPr>
          <w:rFonts w:ascii="Times New Roman" w:hAnsi="Times New Roman" w:cs="Times New Roman"/>
          <w:b/>
          <w:bCs/>
        </w:rPr>
        <w:t>4. Arrangements Based on International Agreements</w:t>
      </w:r>
    </w:p>
    <w:p w14:paraId="3166B2E4" w14:textId="7E426563" w:rsidR="00BE2169" w:rsidRPr="00496AAA" w:rsidRDefault="00205054" w:rsidP="00205054">
      <w:pPr>
        <w:ind w:firstLine="720"/>
        <w:jc w:val="both"/>
        <w:rPr>
          <w:rFonts w:ascii="Times New Roman" w:hAnsi="Times New Roman" w:cs="Times New Roman"/>
        </w:rPr>
      </w:pPr>
      <w:r w:rsidRPr="00205054">
        <w:rPr>
          <w:rFonts w:ascii="Times New Roman" w:hAnsi="Times New Roman" w:cs="Times New Roman"/>
        </w:rPr>
        <w:t>International agreements constitute the primary source of law for determining state territorial boundaries, enabling states to fix the location and shape of agreed boundaries with precision</w:t>
      </w:r>
      <w:r w:rsidR="00BE2169" w:rsidRPr="00496AAA">
        <w:rPr>
          <w:rFonts w:ascii="Times New Roman" w:hAnsi="Times New Roman" w:cs="Times New Roman"/>
        </w:rPr>
        <w:t>.</w:t>
      </w:r>
      <w:r w:rsidR="00BE2169">
        <w:rPr>
          <w:rStyle w:val="FootnoteReference"/>
          <w:rFonts w:ascii="Times New Roman" w:hAnsi="Times New Roman" w:cs="Times New Roman"/>
        </w:rPr>
        <w:footnoteReference w:id="22"/>
      </w:r>
      <w:r>
        <w:rPr>
          <w:rFonts w:ascii="Times New Roman" w:hAnsi="Times New Roman" w:cs="Times New Roman"/>
        </w:rPr>
        <w:t xml:space="preserve"> </w:t>
      </w:r>
      <w:r w:rsidRPr="00205054">
        <w:rPr>
          <w:rFonts w:ascii="Times New Roman" w:hAnsi="Times New Roman" w:cs="Times New Roman"/>
        </w:rPr>
        <w:t xml:space="preserve">Boundary determination through agreement offers several advantages: it provides legal certainty regarding the scope of each state's sovereignty, reduces the potential for conflict arising from differing interpretations, and creates a binding legal basis for the parties in line with the principle of pacta sunt </w:t>
      </w:r>
      <w:proofErr w:type="spellStart"/>
      <w:r w:rsidRPr="00205054">
        <w:rPr>
          <w:rFonts w:ascii="Times New Roman" w:hAnsi="Times New Roman" w:cs="Times New Roman"/>
        </w:rPr>
        <w:t>servanda</w:t>
      </w:r>
      <w:proofErr w:type="spellEnd"/>
      <w:r w:rsidR="00BE2169" w:rsidRPr="00496AAA">
        <w:rPr>
          <w:rFonts w:ascii="Times New Roman" w:hAnsi="Times New Roman" w:cs="Times New Roman"/>
        </w:rPr>
        <w:t>.</w:t>
      </w:r>
      <w:r w:rsidR="00BE2169">
        <w:rPr>
          <w:rStyle w:val="FootnoteReference"/>
          <w:rFonts w:ascii="Times New Roman" w:hAnsi="Times New Roman" w:cs="Times New Roman"/>
        </w:rPr>
        <w:footnoteReference w:id="23"/>
      </w:r>
    </w:p>
    <w:p w14:paraId="4BE99EEF" w14:textId="66AA352F" w:rsidR="00BE2169" w:rsidRPr="00496AAA" w:rsidRDefault="00205054" w:rsidP="00065AF0">
      <w:pPr>
        <w:ind w:firstLine="720"/>
        <w:jc w:val="both"/>
        <w:rPr>
          <w:rFonts w:ascii="Times New Roman" w:hAnsi="Times New Roman" w:cs="Times New Roman"/>
        </w:rPr>
      </w:pPr>
      <w:r w:rsidRPr="00205054">
        <w:rPr>
          <w:rFonts w:ascii="Times New Roman" w:hAnsi="Times New Roman" w:cs="Times New Roman"/>
        </w:rPr>
        <w:t xml:space="preserve">In practice, many territorial boundaries are established through bilateral agreements, including the various border agreements Indonesia has concluded with </w:t>
      </w:r>
      <w:proofErr w:type="spellStart"/>
      <w:r w:rsidRPr="00205054">
        <w:rPr>
          <w:rFonts w:ascii="Times New Roman" w:hAnsi="Times New Roman" w:cs="Times New Roman"/>
        </w:rPr>
        <w:t>neighboring</w:t>
      </w:r>
      <w:proofErr w:type="spellEnd"/>
      <w:r w:rsidRPr="00205054">
        <w:rPr>
          <w:rFonts w:ascii="Times New Roman" w:hAnsi="Times New Roman" w:cs="Times New Roman"/>
        </w:rPr>
        <w:t xml:space="preserve"> states to determine land and maritime boundaries</w:t>
      </w:r>
      <w:r w:rsidR="00BE2169" w:rsidRPr="00496AAA">
        <w:rPr>
          <w:rFonts w:ascii="Times New Roman" w:hAnsi="Times New Roman" w:cs="Times New Roman"/>
        </w:rPr>
        <w:t>.</w:t>
      </w:r>
      <w:r w:rsidR="00BE2169">
        <w:rPr>
          <w:rStyle w:val="FootnoteReference"/>
          <w:rFonts w:ascii="Times New Roman" w:hAnsi="Times New Roman" w:cs="Times New Roman"/>
        </w:rPr>
        <w:footnoteReference w:id="24"/>
      </w:r>
    </w:p>
    <w:p w14:paraId="5C8302F3" w14:textId="2345FC1A" w:rsidR="00BE2169" w:rsidRPr="00496AAA" w:rsidRDefault="00205054" w:rsidP="00065AF0">
      <w:pPr>
        <w:ind w:firstLine="720"/>
        <w:jc w:val="both"/>
        <w:rPr>
          <w:rFonts w:ascii="Times New Roman" w:hAnsi="Times New Roman" w:cs="Times New Roman"/>
        </w:rPr>
      </w:pPr>
      <w:r w:rsidRPr="00205054">
        <w:rPr>
          <w:rFonts w:ascii="Times New Roman" w:hAnsi="Times New Roman" w:cs="Times New Roman"/>
        </w:rPr>
        <w:t>However, agreements do not always prevent disputes from arising. Differing interpretations of an agreement's content, changes in geographical conditions, or shifting economic interests may still give rise to disputes over previously settled boundaries</w:t>
      </w:r>
      <w:r>
        <w:rPr>
          <w:rFonts w:ascii="Times New Roman" w:hAnsi="Times New Roman" w:cs="Times New Roman"/>
        </w:rPr>
        <w:t xml:space="preserve"> </w:t>
      </w:r>
      <w:r w:rsidRPr="00205054">
        <w:rPr>
          <w:rFonts w:ascii="Times New Roman" w:hAnsi="Times New Roman" w:cs="Times New Roman"/>
        </w:rPr>
        <w:t xml:space="preserve">as seen in the Pedra Branca case between Malaysia and Singapore, where the parties' dispute </w:t>
      </w:r>
      <w:proofErr w:type="spellStart"/>
      <w:r w:rsidRPr="00205054">
        <w:rPr>
          <w:rFonts w:ascii="Times New Roman" w:hAnsi="Times New Roman" w:cs="Times New Roman"/>
        </w:rPr>
        <w:t>centered</w:t>
      </w:r>
      <w:proofErr w:type="spellEnd"/>
      <w:r w:rsidRPr="00205054">
        <w:rPr>
          <w:rFonts w:ascii="Times New Roman" w:hAnsi="Times New Roman" w:cs="Times New Roman"/>
        </w:rPr>
        <w:t xml:space="preserve"> on how earlier historical arrangements should be interpreted</w:t>
      </w:r>
      <w:r w:rsidR="00BE2169" w:rsidRPr="00496AAA">
        <w:rPr>
          <w:rFonts w:ascii="Times New Roman" w:hAnsi="Times New Roman" w:cs="Times New Roman"/>
        </w:rPr>
        <w:t>.</w:t>
      </w:r>
      <w:r w:rsidR="00BE2169">
        <w:rPr>
          <w:rStyle w:val="FootnoteReference"/>
          <w:rFonts w:ascii="Times New Roman" w:hAnsi="Times New Roman" w:cs="Times New Roman"/>
        </w:rPr>
        <w:footnoteReference w:id="25"/>
      </w:r>
    </w:p>
    <w:p w14:paraId="29151319" w14:textId="77777777" w:rsidR="00BE2169" w:rsidRPr="00496AAA" w:rsidRDefault="00BE2169" w:rsidP="00065AF0">
      <w:pPr>
        <w:jc w:val="both"/>
        <w:rPr>
          <w:rFonts w:ascii="Times New Roman" w:hAnsi="Times New Roman" w:cs="Times New Roman"/>
          <w:b/>
          <w:bCs/>
        </w:rPr>
      </w:pPr>
      <w:r w:rsidRPr="00496AAA">
        <w:rPr>
          <w:rFonts w:ascii="Times New Roman" w:hAnsi="Times New Roman" w:cs="Times New Roman"/>
          <w:b/>
          <w:bCs/>
        </w:rPr>
        <w:t>5. Arrangements According to UNCLOS 1982</w:t>
      </w:r>
    </w:p>
    <w:p w14:paraId="288A725C" w14:textId="146B2BB6" w:rsidR="00BE2169" w:rsidRPr="00496AAA" w:rsidRDefault="00205054" w:rsidP="00065AF0">
      <w:pPr>
        <w:ind w:firstLine="720"/>
        <w:jc w:val="both"/>
        <w:rPr>
          <w:rFonts w:ascii="Times New Roman" w:hAnsi="Times New Roman" w:cs="Times New Roman"/>
        </w:rPr>
      </w:pPr>
      <w:r w:rsidRPr="00205054">
        <w:rPr>
          <w:rFonts w:ascii="Times New Roman" w:hAnsi="Times New Roman" w:cs="Times New Roman"/>
        </w:rPr>
        <w:t>The development of modern international law cannot be separated from the birth of the United Nations Convention on the Law of the Sea, often referred to as the "constitution for the oceans" for its comprehensive regulation of international maritime law</w:t>
      </w:r>
      <w:r w:rsidR="00BE2169" w:rsidRPr="00496AAA">
        <w:rPr>
          <w:rFonts w:ascii="Times New Roman" w:hAnsi="Times New Roman" w:cs="Times New Roman"/>
        </w:rPr>
        <w:t>.</w:t>
      </w:r>
      <w:r w:rsidR="00BE2169">
        <w:rPr>
          <w:rStyle w:val="FootnoteReference"/>
          <w:rFonts w:ascii="Times New Roman" w:hAnsi="Times New Roman" w:cs="Times New Roman"/>
        </w:rPr>
        <w:footnoteReference w:id="26"/>
      </w:r>
    </w:p>
    <w:p w14:paraId="625209D0" w14:textId="5975572B" w:rsidR="00BE2169" w:rsidRPr="00496AAA" w:rsidRDefault="00205054" w:rsidP="00065AF0">
      <w:pPr>
        <w:ind w:firstLine="720"/>
        <w:jc w:val="both"/>
        <w:rPr>
          <w:rFonts w:ascii="Times New Roman" w:hAnsi="Times New Roman" w:cs="Times New Roman"/>
        </w:rPr>
      </w:pPr>
      <w:r w:rsidRPr="00205054">
        <w:rPr>
          <w:rFonts w:ascii="Times New Roman" w:hAnsi="Times New Roman" w:cs="Times New Roman"/>
        </w:rPr>
        <w:t>UNCLOS 1982 clarifies the rights and obligations of coastal states across various maritime zones, including the territorial sea, the contiguous zone, the exclusive economic zone (EEZ), and the continental shelf</w:t>
      </w:r>
      <w:r w:rsidR="00BE2169" w:rsidRPr="00496AAA">
        <w:rPr>
          <w:rFonts w:ascii="Times New Roman" w:hAnsi="Times New Roman" w:cs="Times New Roman"/>
        </w:rPr>
        <w:t>.</w:t>
      </w:r>
      <w:r w:rsidR="00BE2169">
        <w:rPr>
          <w:rStyle w:val="FootnoteReference"/>
          <w:rFonts w:ascii="Times New Roman" w:hAnsi="Times New Roman" w:cs="Times New Roman"/>
        </w:rPr>
        <w:footnoteReference w:id="27"/>
      </w:r>
    </w:p>
    <w:p w14:paraId="7F616681" w14:textId="39E360E8" w:rsidR="00BE2169" w:rsidRPr="00496AAA" w:rsidRDefault="00205054" w:rsidP="00205054">
      <w:pPr>
        <w:ind w:firstLine="720"/>
        <w:jc w:val="both"/>
        <w:rPr>
          <w:rFonts w:ascii="Times New Roman" w:hAnsi="Times New Roman" w:cs="Times New Roman"/>
        </w:rPr>
      </w:pPr>
      <w:r w:rsidRPr="00205054">
        <w:rPr>
          <w:rFonts w:ascii="Times New Roman" w:hAnsi="Times New Roman" w:cs="Times New Roman"/>
        </w:rPr>
        <w:t>The territorial sea grants a coastal state full sovereignty up to 12 nautical miles from the baseline, beyond which the contiguous zone allows the state to act against certain violations</w:t>
      </w:r>
      <w:r w:rsidR="00BE2169" w:rsidRPr="00496AAA">
        <w:rPr>
          <w:rFonts w:ascii="Times New Roman" w:hAnsi="Times New Roman" w:cs="Times New Roman"/>
        </w:rPr>
        <w:t>.</w:t>
      </w:r>
      <w:r w:rsidR="00BE2169">
        <w:rPr>
          <w:rStyle w:val="FootnoteReference"/>
          <w:rFonts w:ascii="Times New Roman" w:hAnsi="Times New Roman" w:cs="Times New Roman"/>
        </w:rPr>
        <w:footnoteReference w:id="28"/>
      </w:r>
      <w:r>
        <w:rPr>
          <w:rFonts w:ascii="Times New Roman" w:hAnsi="Times New Roman" w:cs="Times New Roman"/>
        </w:rPr>
        <w:t xml:space="preserve"> </w:t>
      </w:r>
      <w:r w:rsidRPr="00205054">
        <w:rPr>
          <w:rFonts w:ascii="Times New Roman" w:hAnsi="Times New Roman" w:cs="Times New Roman"/>
        </w:rPr>
        <w:t>The exclusive economic zone extends the coastal state's sovereign right to explore and exploit natural resources up to 200 nautical miles, while the continental shelf confers rights over resources on and beneath the seabed</w:t>
      </w:r>
      <w:r w:rsidR="00BE2169" w:rsidRPr="00496AAA">
        <w:rPr>
          <w:rFonts w:ascii="Times New Roman" w:hAnsi="Times New Roman" w:cs="Times New Roman"/>
        </w:rPr>
        <w:t>.</w:t>
      </w:r>
      <w:r w:rsidR="00BE2169">
        <w:rPr>
          <w:rStyle w:val="FootnoteReference"/>
          <w:rFonts w:ascii="Times New Roman" w:hAnsi="Times New Roman" w:cs="Times New Roman"/>
        </w:rPr>
        <w:footnoteReference w:id="29"/>
      </w:r>
    </w:p>
    <w:p w14:paraId="56A66C95" w14:textId="482C8ACA" w:rsidR="00BE2169" w:rsidRPr="00496AAA" w:rsidRDefault="00205054" w:rsidP="00065AF0">
      <w:pPr>
        <w:ind w:firstLine="720"/>
        <w:jc w:val="both"/>
        <w:rPr>
          <w:rFonts w:ascii="Times New Roman" w:hAnsi="Times New Roman" w:cs="Times New Roman"/>
        </w:rPr>
      </w:pPr>
      <w:r w:rsidRPr="00205054">
        <w:rPr>
          <w:rFonts w:ascii="Times New Roman" w:hAnsi="Times New Roman" w:cs="Times New Roman"/>
        </w:rPr>
        <w:t xml:space="preserve">UNCLOS also sets out principles of maritime delimitation applicable where the maritime territories of two states are opposite or adjacent to one another, requiring that boundaries be determined by agreement on the basis of an equitable solution </w:t>
      </w:r>
      <w:r>
        <w:rPr>
          <w:rFonts w:ascii="Times New Roman" w:hAnsi="Times New Roman" w:cs="Times New Roman"/>
        </w:rPr>
        <w:t xml:space="preserve"> </w:t>
      </w:r>
      <w:r w:rsidRPr="00205054">
        <w:rPr>
          <w:rFonts w:ascii="Times New Roman" w:hAnsi="Times New Roman" w:cs="Times New Roman"/>
        </w:rPr>
        <w:t xml:space="preserve">the same equitable considerations that recur in disputes such as </w:t>
      </w:r>
      <w:proofErr w:type="spellStart"/>
      <w:r w:rsidRPr="00205054">
        <w:rPr>
          <w:rFonts w:ascii="Times New Roman" w:hAnsi="Times New Roman" w:cs="Times New Roman"/>
        </w:rPr>
        <w:t>Ambalat</w:t>
      </w:r>
      <w:proofErr w:type="spellEnd"/>
      <w:r w:rsidRPr="00205054">
        <w:rPr>
          <w:rFonts w:ascii="Times New Roman" w:hAnsi="Times New Roman" w:cs="Times New Roman"/>
        </w:rPr>
        <w:t xml:space="preserve"> and the South China Sea, where overlapping EEZ and continental shelf claims remain unresolved</w:t>
      </w:r>
      <w:r w:rsidR="00BE2169" w:rsidRPr="00496AAA">
        <w:rPr>
          <w:rFonts w:ascii="Times New Roman" w:hAnsi="Times New Roman" w:cs="Times New Roman"/>
        </w:rPr>
        <w:t>.</w:t>
      </w:r>
      <w:r w:rsidR="00BE2169">
        <w:rPr>
          <w:rStyle w:val="FootnoteReference"/>
          <w:rFonts w:ascii="Times New Roman" w:hAnsi="Times New Roman" w:cs="Times New Roman"/>
        </w:rPr>
        <w:footnoteReference w:id="30"/>
      </w:r>
    </w:p>
    <w:p w14:paraId="49A072CF" w14:textId="77777777" w:rsidR="00BE2169" w:rsidRPr="00496AAA" w:rsidRDefault="00BE2169" w:rsidP="00065AF0">
      <w:pPr>
        <w:jc w:val="both"/>
        <w:rPr>
          <w:rFonts w:ascii="Times New Roman" w:hAnsi="Times New Roman" w:cs="Times New Roman"/>
          <w:b/>
          <w:bCs/>
        </w:rPr>
      </w:pPr>
      <w:r w:rsidRPr="00496AAA">
        <w:rPr>
          <w:rFonts w:ascii="Times New Roman" w:hAnsi="Times New Roman" w:cs="Times New Roman"/>
          <w:b/>
          <w:bCs/>
        </w:rPr>
        <w:t>6. Principles in Regional Boundary Delimitation</w:t>
      </w:r>
    </w:p>
    <w:p w14:paraId="4F80A7B1" w14:textId="0FA52693" w:rsidR="00BE2169" w:rsidRPr="00496AAA" w:rsidRDefault="00205054" w:rsidP="00065AF0">
      <w:pPr>
        <w:ind w:firstLine="720"/>
        <w:jc w:val="both"/>
        <w:rPr>
          <w:rFonts w:ascii="Times New Roman" w:hAnsi="Times New Roman" w:cs="Times New Roman"/>
        </w:rPr>
      </w:pPr>
      <w:r w:rsidRPr="00205054">
        <w:rPr>
          <w:rFonts w:ascii="Times New Roman" w:hAnsi="Times New Roman" w:cs="Times New Roman"/>
        </w:rPr>
        <w:t>Boundary delimitation is guided by several core principles. The principle of state sovereignty affirms each state's exclusive rights over its territory and its right to preserve territorial integrity</w:t>
      </w:r>
      <w:r w:rsidR="00BE2169" w:rsidRPr="00496AAA">
        <w:rPr>
          <w:rFonts w:ascii="Times New Roman" w:hAnsi="Times New Roman" w:cs="Times New Roman"/>
        </w:rPr>
        <w:t>.</w:t>
      </w:r>
      <w:r w:rsidR="00BE2169">
        <w:rPr>
          <w:rStyle w:val="FootnoteReference"/>
          <w:rFonts w:ascii="Times New Roman" w:hAnsi="Times New Roman" w:cs="Times New Roman"/>
        </w:rPr>
        <w:footnoteReference w:id="31"/>
      </w:r>
      <w:r w:rsidR="006E71E9">
        <w:rPr>
          <w:rFonts w:ascii="Times New Roman" w:hAnsi="Times New Roman" w:cs="Times New Roman"/>
        </w:rPr>
        <w:t xml:space="preserve"> </w:t>
      </w:r>
      <w:r w:rsidRPr="00205054">
        <w:rPr>
          <w:rFonts w:ascii="Times New Roman" w:hAnsi="Times New Roman" w:cs="Times New Roman"/>
        </w:rPr>
        <w:t>while the principle of territorial integrity itself prohibits the acquisition of territory through the use of force</w:t>
      </w:r>
      <w:r w:rsidR="00BE2169" w:rsidRPr="00496AAA">
        <w:rPr>
          <w:rFonts w:ascii="Times New Roman" w:hAnsi="Times New Roman" w:cs="Times New Roman"/>
        </w:rPr>
        <w:t>.</w:t>
      </w:r>
      <w:r w:rsidR="00BE2169">
        <w:rPr>
          <w:rStyle w:val="FootnoteReference"/>
          <w:rFonts w:ascii="Times New Roman" w:hAnsi="Times New Roman" w:cs="Times New Roman"/>
        </w:rPr>
        <w:footnoteReference w:id="32"/>
      </w:r>
    </w:p>
    <w:p w14:paraId="5010DFB5" w14:textId="179E277F" w:rsidR="00BE2169" w:rsidRPr="00496AAA" w:rsidRDefault="00205054" w:rsidP="00065AF0">
      <w:pPr>
        <w:ind w:firstLine="720"/>
        <w:jc w:val="both"/>
        <w:rPr>
          <w:rFonts w:ascii="Times New Roman" w:hAnsi="Times New Roman" w:cs="Times New Roman"/>
        </w:rPr>
      </w:pPr>
      <w:r w:rsidRPr="00205054">
        <w:rPr>
          <w:rFonts w:ascii="Times New Roman" w:hAnsi="Times New Roman" w:cs="Times New Roman"/>
        </w:rPr>
        <w:t xml:space="preserve">The principle of </w:t>
      </w:r>
      <w:proofErr w:type="spellStart"/>
      <w:r w:rsidRPr="00205054">
        <w:rPr>
          <w:rFonts w:ascii="Times New Roman" w:hAnsi="Times New Roman" w:cs="Times New Roman"/>
        </w:rPr>
        <w:t>uti</w:t>
      </w:r>
      <w:proofErr w:type="spellEnd"/>
      <w:r w:rsidRPr="00205054">
        <w:rPr>
          <w:rFonts w:ascii="Times New Roman" w:hAnsi="Times New Roman" w:cs="Times New Roman"/>
        </w:rPr>
        <w:t xml:space="preserve"> possidetis juris preserves administrative boundaries that existed prior to a region's independence</w:t>
      </w:r>
      <w:r w:rsidR="00BE2169" w:rsidRPr="00496AAA">
        <w:rPr>
          <w:rFonts w:ascii="Times New Roman" w:hAnsi="Times New Roman" w:cs="Times New Roman"/>
        </w:rPr>
        <w:t>.</w:t>
      </w:r>
      <w:r w:rsidR="00BE2169">
        <w:rPr>
          <w:rStyle w:val="FootnoteReference"/>
          <w:rFonts w:ascii="Times New Roman" w:hAnsi="Times New Roman" w:cs="Times New Roman"/>
        </w:rPr>
        <w:footnoteReference w:id="33"/>
      </w:r>
      <w:r w:rsidR="006E71E9">
        <w:rPr>
          <w:rFonts w:ascii="Times New Roman" w:hAnsi="Times New Roman" w:cs="Times New Roman"/>
        </w:rPr>
        <w:t xml:space="preserve"> </w:t>
      </w:r>
      <w:r>
        <w:rPr>
          <w:rFonts w:ascii="Times New Roman" w:hAnsi="Times New Roman" w:cs="Times New Roman"/>
        </w:rPr>
        <w:t>W</w:t>
      </w:r>
      <w:r w:rsidRPr="00205054">
        <w:rPr>
          <w:rFonts w:ascii="Times New Roman" w:hAnsi="Times New Roman" w:cs="Times New Roman"/>
        </w:rPr>
        <w:t>hile the principle of effectiveness (</w:t>
      </w:r>
      <w:proofErr w:type="spellStart"/>
      <w:r w:rsidRPr="00205054">
        <w:rPr>
          <w:rFonts w:ascii="Times New Roman" w:hAnsi="Times New Roman" w:cs="Times New Roman"/>
        </w:rPr>
        <w:t>effectivités</w:t>
      </w:r>
      <w:proofErr w:type="spellEnd"/>
      <w:r w:rsidRPr="00205054">
        <w:rPr>
          <w:rFonts w:ascii="Times New Roman" w:hAnsi="Times New Roman" w:cs="Times New Roman"/>
        </w:rPr>
        <w:t xml:space="preserve">) assesses a state's actual exercise of authority over a given area as applied by the ICJ in </w:t>
      </w:r>
      <w:proofErr w:type="spellStart"/>
      <w:r w:rsidRPr="00205054">
        <w:rPr>
          <w:rFonts w:ascii="Times New Roman" w:hAnsi="Times New Roman" w:cs="Times New Roman"/>
        </w:rPr>
        <w:t>Sipadan-Ligitan</w:t>
      </w:r>
      <w:proofErr w:type="spellEnd"/>
      <w:r w:rsidRPr="00205054">
        <w:rPr>
          <w:rFonts w:ascii="Times New Roman" w:hAnsi="Times New Roman" w:cs="Times New Roman"/>
        </w:rPr>
        <w:t>, discussed above</w:t>
      </w:r>
      <w:r w:rsidR="00BE2169" w:rsidRPr="00496AAA">
        <w:rPr>
          <w:rFonts w:ascii="Times New Roman" w:hAnsi="Times New Roman" w:cs="Times New Roman"/>
        </w:rPr>
        <w:t>.</w:t>
      </w:r>
      <w:r w:rsidR="00BE2169">
        <w:rPr>
          <w:rStyle w:val="FootnoteReference"/>
          <w:rFonts w:ascii="Times New Roman" w:hAnsi="Times New Roman" w:cs="Times New Roman"/>
        </w:rPr>
        <w:footnoteReference w:id="34"/>
      </w:r>
    </w:p>
    <w:p w14:paraId="3263068F" w14:textId="518DDB15" w:rsidR="00BE2169" w:rsidRPr="00496AAA" w:rsidRDefault="00205054" w:rsidP="00065AF0">
      <w:pPr>
        <w:ind w:firstLine="720"/>
        <w:jc w:val="both"/>
        <w:rPr>
          <w:rFonts w:ascii="Times New Roman" w:hAnsi="Times New Roman" w:cs="Times New Roman"/>
        </w:rPr>
      </w:pPr>
      <w:r w:rsidRPr="00205054">
        <w:rPr>
          <w:rFonts w:ascii="Times New Roman" w:hAnsi="Times New Roman" w:cs="Times New Roman"/>
        </w:rPr>
        <w:t>Finally, the principle of equity is applied in maritime delimitation to produce a fair division of territory based on geographical circumstances and the specific conditions of the parties involved</w:t>
      </w:r>
      <w:r w:rsidR="00BE2169" w:rsidRPr="00496AAA">
        <w:rPr>
          <w:rFonts w:ascii="Times New Roman" w:hAnsi="Times New Roman" w:cs="Times New Roman"/>
        </w:rPr>
        <w:t>.</w:t>
      </w:r>
      <w:r w:rsidR="00BE2169">
        <w:rPr>
          <w:rStyle w:val="FootnoteReference"/>
          <w:rFonts w:ascii="Times New Roman" w:hAnsi="Times New Roman" w:cs="Times New Roman"/>
        </w:rPr>
        <w:footnoteReference w:id="35"/>
      </w:r>
    </w:p>
    <w:p w14:paraId="44AD055B" w14:textId="77777777" w:rsidR="006E71E9" w:rsidRDefault="006E71E9" w:rsidP="00065AF0">
      <w:pPr>
        <w:jc w:val="both"/>
        <w:rPr>
          <w:rFonts w:ascii="Times New Roman" w:hAnsi="Times New Roman" w:cs="Times New Roman"/>
          <w:b/>
          <w:bCs/>
          <w:i/>
          <w:iCs/>
        </w:rPr>
      </w:pPr>
    </w:p>
    <w:p w14:paraId="47E54986" w14:textId="77777777" w:rsidR="006E71E9" w:rsidRDefault="006E71E9" w:rsidP="00065AF0">
      <w:pPr>
        <w:jc w:val="both"/>
        <w:rPr>
          <w:rFonts w:ascii="Times New Roman" w:hAnsi="Times New Roman" w:cs="Times New Roman"/>
          <w:b/>
          <w:bCs/>
          <w:i/>
          <w:iCs/>
        </w:rPr>
      </w:pPr>
    </w:p>
    <w:p w14:paraId="1BFF73B1" w14:textId="3CB35C36" w:rsidR="00BE2169" w:rsidRPr="00BE2169" w:rsidRDefault="00BE2169" w:rsidP="00065AF0">
      <w:pPr>
        <w:jc w:val="both"/>
        <w:rPr>
          <w:rFonts w:ascii="Times New Roman" w:hAnsi="Times New Roman" w:cs="Times New Roman"/>
          <w:b/>
          <w:bCs/>
          <w:i/>
          <w:iCs/>
        </w:rPr>
      </w:pPr>
      <w:r w:rsidRPr="00BE2169">
        <w:rPr>
          <w:rFonts w:ascii="Times New Roman" w:hAnsi="Times New Roman" w:cs="Times New Roman"/>
          <w:b/>
          <w:bCs/>
          <w:i/>
          <w:iCs/>
        </w:rPr>
        <w:t>B. Settlement of territorial boundary disputes under international law</w:t>
      </w:r>
    </w:p>
    <w:p w14:paraId="32061BAD" w14:textId="77777777" w:rsidR="00BE2169" w:rsidRPr="00496AAA" w:rsidRDefault="00BE2169" w:rsidP="00065AF0">
      <w:pPr>
        <w:jc w:val="both"/>
        <w:rPr>
          <w:rFonts w:ascii="Times New Roman" w:hAnsi="Times New Roman" w:cs="Times New Roman"/>
          <w:b/>
          <w:bCs/>
        </w:rPr>
      </w:pPr>
      <w:r w:rsidRPr="00496AAA">
        <w:rPr>
          <w:rFonts w:ascii="Times New Roman" w:hAnsi="Times New Roman" w:cs="Times New Roman"/>
          <w:b/>
          <w:bCs/>
        </w:rPr>
        <w:t>1. The Importance of Peaceful Dispute Resolution</w:t>
      </w:r>
    </w:p>
    <w:p w14:paraId="275592DF" w14:textId="224BA675" w:rsidR="00BE2169" w:rsidRPr="00496AAA" w:rsidRDefault="00205054" w:rsidP="00065AF0">
      <w:pPr>
        <w:ind w:firstLine="720"/>
        <w:jc w:val="both"/>
        <w:rPr>
          <w:rFonts w:ascii="Times New Roman" w:hAnsi="Times New Roman" w:cs="Times New Roman"/>
        </w:rPr>
      </w:pPr>
      <w:r w:rsidRPr="00205054">
        <w:rPr>
          <w:rFonts w:ascii="Times New Roman" w:hAnsi="Times New Roman" w:cs="Times New Roman"/>
        </w:rPr>
        <w:t>Territorial boundary disputes have the potential to disrupt interstate relations and threaten regional stability. International law accordingly places the peaceful settlement of disputes as an obligation on every state</w:t>
      </w:r>
      <w:r w:rsidR="00BE2169" w:rsidRPr="00496AAA">
        <w:rPr>
          <w:rFonts w:ascii="Times New Roman" w:hAnsi="Times New Roman" w:cs="Times New Roman"/>
        </w:rPr>
        <w:t>.</w:t>
      </w:r>
      <w:r w:rsidR="00BE2169">
        <w:rPr>
          <w:rStyle w:val="FootnoteReference"/>
          <w:rFonts w:ascii="Times New Roman" w:hAnsi="Times New Roman" w:cs="Times New Roman"/>
        </w:rPr>
        <w:footnoteReference w:id="36"/>
      </w:r>
      <w:r w:rsidR="006E71E9">
        <w:rPr>
          <w:rFonts w:ascii="Times New Roman" w:hAnsi="Times New Roman" w:cs="Times New Roman"/>
        </w:rPr>
        <w:t xml:space="preserve"> </w:t>
      </w:r>
      <w:r w:rsidRPr="00205054">
        <w:rPr>
          <w:rFonts w:ascii="Times New Roman" w:hAnsi="Times New Roman" w:cs="Times New Roman"/>
        </w:rPr>
        <w:t>a principle enshrined in the UN Charter and now firmly established as a fundamental norm of international law, aimed at preventing the use of force and preserving good relations between states.</w:t>
      </w:r>
      <w:r w:rsidR="00BE2169">
        <w:rPr>
          <w:rStyle w:val="FootnoteReference"/>
          <w:rFonts w:ascii="Times New Roman" w:hAnsi="Times New Roman" w:cs="Times New Roman"/>
        </w:rPr>
        <w:footnoteReference w:id="37"/>
      </w:r>
    </w:p>
    <w:p w14:paraId="18F03048" w14:textId="77777777" w:rsidR="00BE2169" w:rsidRPr="00496AAA" w:rsidRDefault="00BE2169" w:rsidP="00065AF0">
      <w:pPr>
        <w:jc w:val="both"/>
        <w:rPr>
          <w:rFonts w:ascii="Times New Roman" w:hAnsi="Times New Roman" w:cs="Times New Roman"/>
          <w:b/>
          <w:bCs/>
        </w:rPr>
      </w:pPr>
      <w:r w:rsidRPr="00496AAA">
        <w:rPr>
          <w:rFonts w:ascii="Times New Roman" w:hAnsi="Times New Roman" w:cs="Times New Roman"/>
          <w:b/>
          <w:bCs/>
        </w:rPr>
        <w:t>2. Negotiation</w:t>
      </w:r>
    </w:p>
    <w:p w14:paraId="2B26A4A6" w14:textId="438A0E19" w:rsidR="00BE2169" w:rsidRPr="00496AAA" w:rsidRDefault="00205054" w:rsidP="00065AF0">
      <w:pPr>
        <w:ind w:firstLine="720"/>
        <w:jc w:val="both"/>
        <w:rPr>
          <w:rFonts w:ascii="Times New Roman" w:hAnsi="Times New Roman" w:cs="Times New Roman"/>
        </w:rPr>
      </w:pPr>
      <w:r w:rsidRPr="00205054">
        <w:rPr>
          <w:rFonts w:ascii="Times New Roman" w:hAnsi="Times New Roman" w:cs="Times New Roman"/>
        </w:rPr>
        <w:t>Negotiation is the method most commonly used to resolve territorial boundary disputes, allowing parties to discuss the dispute directly and reach mutually accommodating solutions</w:t>
      </w:r>
      <w:r w:rsidR="00BE2169" w:rsidRPr="00496AAA">
        <w:rPr>
          <w:rFonts w:ascii="Times New Roman" w:hAnsi="Times New Roman" w:cs="Times New Roman"/>
        </w:rPr>
        <w:t>.</w:t>
      </w:r>
      <w:r w:rsidR="00BE2169">
        <w:rPr>
          <w:rStyle w:val="FootnoteReference"/>
          <w:rFonts w:ascii="Times New Roman" w:hAnsi="Times New Roman" w:cs="Times New Roman"/>
        </w:rPr>
        <w:footnoteReference w:id="38"/>
      </w:r>
      <w:r w:rsidR="006E71E9">
        <w:rPr>
          <w:rFonts w:ascii="Times New Roman" w:hAnsi="Times New Roman" w:cs="Times New Roman"/>
        </w:rPr>
        <w:t xml:space="preserve"> </w:t>
      </w:r>
      <w:r w:rsidRPr="00205054">
        <w:rPr>
          <w:rFonts w:ascii="Times New Roman" w:hAnsi="Times New Roman" w:cs="Times New Roman"/>
        </w:rPr>
        <w:t>Its principal advantage lies in flexibility, though its success depends heavily on the parties' political will to reach agreement.</w:t>
      </w:r>
      <w:r w:rsidR="00BE2169">
        <w:rPr>
          <w:rStyle w:val="FootnoteReference"/>
          <w:rFonts w:ascii="Times New Roman" w:hAnsi="Times New Roman" w:cs="Times New Roman"/>
        </w:rPr>
        <w:footnoteReference w:id="39"/>
      </w:r>
    </w:p>
    <w:p w14:paraId="04874322" w14:textId="77777777" w:rsidR="00BE2169" w:rsidRPr="00496AAA" w:rsidRDefault="00BE2169" w:rsidP="00065AF0">
      <w:pPr>
        <w:jc w:val="both"/>
        <w:rPr>
          <w:rFonts w:ascii="Times New Roman" w:hAnsi="Times New Roman" w:cs="Times New Roman"/>
          <w:b/>
          <w:bCs/>
        </w:rPr>
      </w:pPr>
      <w:r w:rsidRPr="00496AAA">
        <w:rPr>
          <w:rFonts w:ascii="Times New Roman" w:hAnsi="Times New Roman" w:cs="Times New Roman"/>
          <w:b/>
          <w:bCs/>
        </w:rPr>
        <w:t>3. Mediation and Conciliation</w:t>
      </w:r>
    </w:p>
    <w:p w14:paraId="7CEE6AFE" w14:textId="2CA4A9E0" w:rsidR="00BE2169" w:rsidRPr="00496AAA" w:rsidRDefault="00205054" w:rsidP="00065AF0">
      <w:pPr>
        <w:ind w:firstLine="720"/>
        <w:jc w:val="both"/>
        <w:rPr>
          <w:rFonts w:ascii="Times New Roman" w:hAnsi="Times New Roman" w:cs="Times New Roman"/>
        </w:rPr>
      </w:pPr>
      <w:r w:rsidRPr="00205054">
        <w:rPr>
          <w:rFonts w:ascii="Times New Roman" w:hAnsi="Times New Roman" w:cs="Times New Roman"/>
        </w:rPr>
        <w:t>Where negotiation fails to produce agreement, parties may turn to mediation or conciliation</w:t>
      </w:r>
      <w:r w:rsidR="00BE2169" w:rsidRPr="00496AAA">
        <w:rPr>
          <w:rFonts w:ascii="Times New Roman" w:hAnsi="Times New Roman" w:cs="Times New Roman"/>
        </w:rPr>
        <w:t>.</w:t>
      </w:r>
      <w:r w:rsidR="00BE2169">
        <w:rPr>
          <w:rStyle w:val="FootnoteReference"/>
          <w:rFonts w:ascii="Times New Roman" w:hAnsi="Times New Roman" w:cs="Times New Roman"/>
        </w:rPr>
        <w:footnoteReference w:id="40"/>
      </w:r>
      <w:r w:rsidR="006E71E9">
        <w:rPr>
          <w:rFonts w:ascii="Times New Roman" w:hAnsi="Times New Roman" w:cs="Times New Roman"/>
        </w:rPr>
        <w:t xml:space="preserve"> </w:t>
      </w:r>
      <w:r w:rsidRPr="00205054">
        <w:rPr>
          <w:rFonts w:ascii="Times New Roman" w:hAnsi="Times New Roman" w:cs="Times New Roman"/>
        </w:rPr>
        <w:t>In mediation, a third party helps the parties reach a solution without the authority to issue a binding decision; in conciliation, a commission is instead formed to investigate the dispute and issue recommendations for its resolution</w:t>
      </w:r>
      <w:r w:rsidR="00BE2169" w:rsidRPr="00496AAA">
        <w:rPr>
          <w:rFonts w:ascii="Times New Roman" w:hAnsi="Times New Roman" w:cs="Times New Roman"/>
        </w:rPr>
        <w:t>.</w:t>
      </w:r>
      <w:r w:rsidR="00BE2169">
        <w:rPr>
          <w:rStyle w:val="FootnoteReference"/>
          <w:rFonts w:ascii="Times New Roman" w:hAnsi="Times New Roman" w:cs="Times New Roman"/>
        </w:rPr>
        <w:footnoteReference w:id="41"/>
      </w:r>
    </w:p>
    <w:p w14:paraId="618B9C84" w14:textId="77777777" w:rsidR="00BE2169" w:rsidRPr="00496AAA" w:rsidRDefault="00BE2169" w:rsidP="00065AF0">
      <w:pPr>
        <w:jc w:val="both"/>
        <w:rPr>
          <w:rFonts w:ascii="Times New Roman" w:hAnsi="Times New Roman" w:cs="Times New Roman"/>
          <w:b/>
          <w:bCs/>
        </w:rPr>
      </w:pPr>
      <w:r w:rsidRPr="00496AAA">
        <w:rPr>
          <w:rFonts w:ascii="Times New Roman" w:hAnsi="Times New Roman" w:cs="Times New Roman"/>
          <w:b/>
          <w:bCs/>
        </w:rPr>
        <w:t>4. International Arbitration</w:t>
      </w:r>
    </w:p>
    <w:p w14:paraId="5B72EDE2" w14:textId="54EDDB64" w:rsidR="00BE2169" w:rsidRDefault="00205054" w:rsidP="00065AF0">
      <w:pPr>
        <w:ind w:firstLine="720"/>
        <w:jc w:val="both"/>
        <w:rPr>
          <w:rFonts w:ascii="Times New Roman" w:hAnsi="Times New Roman" w:cs="Times New Roman"/>
        </w:rPr>
      </w:pPr>
      <w:r w:rsidRPr="00205054">
        <w:rPr>
          <w:rFonts w:ascii="Times New Roman" w:hAnsi="Times New Roman" w:cs="Times New Roman"/>
        </w:rPr>
        <w:t>Arbitration offers a more formal dispute resolution mechanism, in which the parties submit their dispute to a jointly selected arbitrator for a decision under applicable law</w:t>
      </w:r>
      <w:r w:rsidR="00BE2169" w:rsidRPr="00496AAA">
        <w:rPr>
          <w:rFonts w:ascii="Times New Roman" w:hAnsi="Times New Roman" w:cs="Times New Roman"/>
        </w:rPr>
        <w:t>.</w:t>
      </w:r>
      <w:r w:rsidR="00BE2169">
        <w:rPr>
          <w:rStyle w:val="FootnoteReference"/>
          <w:rFonts w:ascii="Times New Roman" w:hAnsi="Times New Roman" w:cs="Times New Roman"/>
        </w:rPr>
        <w:footnoteReference w:id="42"/>
      </w:r>
      <w:r w:rsidR="006E71E9">
        <w:rPr>
          <w:rFonts w:ascii="Times New Roman" w:hAnsi="Times New Roman" w:cs="Times New Roman"/>
        </w:rPr>
        <w:t xml:space="preserve"> </w:t>
      </w:r>
      <w:r w:rsidRPr="00205054">
        <w:rPr>
          <w:rFonts w:ascii="Times New Roman" w:hAnsi="Times New Roman" w:cs="Times New Roman"/>
        </w:rPr>
        <w:t>Compared to international courts, arbitration tends to be faster and more flexible, and allows the parties to determine their own procedure</w:t>
      </w:r>
      <w:r w:rsidR="00BE2169" w:rsidRPr="00496AAA">
        <w:rPr>
          <w:rFonts w:ascii="Times New Roman" w:hAnsi="Times New Roman" w:cs="Times New Roman"/>
        </w:rPr>
        <w:t>.</w:t>
      </w:r>
      <w:r w:rsidR="00BE2169">
        <w:rPr>
          <w:rStyle w:val="FootnoteReference"/>
          <w:rFonts w:ascii="Times New Roman" w:hAnsi="Times New Roman" w:cs="Times New Roman"/>
        </w:rPr>
        <w:footnoteReference w:id="43"/>
      </w:r>
    </w:p>
    <w:p w14:paraId="756DF3F7" w14:textId="77777777" w:rsidR="00205054" w:rsidRPr="00496AAA" w:rsidRDefault="00205054" w:rsidP="00065AF0">
      <w:pPr>
        <w:ind w:firstLine="720"/>
        <w:jc w:val="both"/>
        <w:rPr>
          <w:rFonts w:ascii="Times New Roman" w:hAnsi="Times New Roman" w:cs="Times New Roman"/>
        </w:rPr>
      </w:pPr>
    </w:p>
    <w:p w14:paraId="631CCD0B" w14:textId="77777777" w:rsidR="00BE2169" w:rsidRPr="00496AAA" w:rsidRDefault="00BE2169" w:rsidP="00065AF0">
      <w:pPr>
        <w:jc w:val="both"/>
        <w:rPr>
          <w:rFonts w:ascii="Times New Roman" w:hAnsi="Times New Roman" w:cs="Times New Roman"/>
          <w:b/>
          <w:bCs/>
        </w:rPr>
      </w:pPr>
      <w:r w:rsidRPr="00496AAA">
        <w:rPr>
          <w:rFonts w:ascii="Times New Roman" w:hAnsi="Times New Roman" w:cs="Times New Roman"/>
          <w:b/>
          <w:bCs/>
        </w:rPr>
        <w:t>5. International Court of Justice</w:t>
      </w:r>
    </w:p>
    <w:p w14:paraId="203804C9" w14:textId="40762B8C" w:rsidR="00BE2169" w:rsidRPr="00992911" w:rsidRDefault="00205054" w:rsidP="00065AF0">
      <w:pPr>
        <w:ind w:firstLine="720"/>
        <w:jc w:val="both"/>
        <w:rPr>
          <w:rFonts w:ascii="Times New Roman" w:hAnsi="Times New Roman" w:cs="Times New Roman"/>
        </w:rPr>
      </w:pPr>
      <w:r w:rsidRPr="00205054">
        <w:rPr>
          <w:rFonts w:ascii="Times New Roman" w:hAnsi="Times New Roman" w:cs="Times New Roman"/>
        </w:rPr>
        <w:t>The International Court of Justice is the principal judicial organ of the United Nations, with authority to resolve legal disputes between states</w:t>
      </w:r>
      <w:r w:rsidR="00BE2169" w:rsidRPr="00496AAA">
        <w:rPr>
          <w:rFonts w:ascii="Times New Roman" w:hAnsi="Times New Roman" w:cs="Times New Roman"/>
        </w:rPr>
        <w:t>.</w:t>
      </w:r>
      <w:r w:rsidR="00BE2169">
        <w:rPr>
          <w:rStyle w:val="FootnoteReference"/>
          <w:rFonts w:ascii="Times New Roman" w:hAnsi="Times New Roman" w:cs="Times New Roman"/>
        </w:rPr>
        <w:footnoteReference w:id="44"/>
      </w:r>
      <w:r w:rsidR="006E71E9">
        <w:rPr>
          <w:rFonts w:ascii="Times New Roman" w:hAnsi="Times New Roman" w:cs="Times New Roman"/>
        </w:rPr>
        <w:t xml:space="preserve"> </w:t>
      </w:r>
      <w:r w:rsidRPr="00205054">
        <w:rPr>
          <w:rFonts w:ascii="Times New Roman" w:hAnsi="Times New Roman" w:cs="Times New Roman"/>
        </w:rPr>
        <w:t xml:space="preserve">In territorial boundary cases including </w:t>
      </w:r>
      <w:proofErr w:type="spellStart"/>
      <w:r w:rsidRPr="00205054">
        <w:rPr>
          <w:rFonts w:ascii="Times New Roman" w:hAnsi="Times New Roman" w:cs="Times New Roman"/>
        </w:rPr>
        <w:t>Sipadan-Ligitan</w:t>
      </w:r>
      <w:proofErr w:type="spellEnd"/>
      <w:r w:rsidRPr="00205054">
        <w:rPr>
          <w:rFonts w:ascii="Times New Roman" w:hAnsi="Times New Roman" w:cs="Times New Roman"/>
        </w:rPr>
        <w:t xml:space="preserve"> (Indonesia v. Malaysia) and Pedra Branca (Malaysia v. Singapore)</w:t>
      </w:r>
      <w:r>
        <w:rPr>
          <w:rFonts w:ascii="Times New Roman" w:hAnsi="Times New Roman" w:cs="Times New Roman"/>
        </w:rPr>
        <w:t xml:space="preserve"> </w:t>
      </w:r>
      <w:r w:rsidRPr="00205054">
        <w:rPr>
          <w:rFonts w:ascii="Times New Roman" w:hAnsi="Times New Roman" w:cs="Times New Roman"/>
        </w:rPr>
        <w:t>the Court has issued significant decisions that have shaped the development of international law in this area. Because ICJ decisions are final and binding, they provide the parties with a durable measure of legal certainty that other mechanisms, such as negotiation or mediation, cannot guarante</w:t>
      </w:r>
      <w:r w:rsidR="00C34D4C">
        <w:rPr>
          <w:rFonts w:ascii="Times New Roman" w:hAnsi="Times New Roman" w:cs="Times New Roman"/>
        </w:rPr>
        <w:t>e</w:t>
      </w:r>
      <w:r w:rsidR="00BE2169" w:rsidRPr="00496AAA">
        <w:rPr>
          <w:rFonts w:ascii="Times New Roman" w:hAnsi="Times New Roman" w:cs="Times New Roman"/>
        </w:rPr>
        <w:t>.</w:t>
      </w:r>
      <w:r w:rsidR="00BE2169">
        <w:rPr>
          <w:rStyle w:val="FootnoteReference"/>
          <w:rFonts w:ascii="Times New Roman" w:hAnsi="Times New Roman" w:cs="Times New Roman"/>
        </w:rPr>
        <w:footnoteReference w:id="45"/>
      </w:r>
    </w:p>
    <w:p w14:paraId="5745D93A" w14:textId="77777777" w:rsidR="00BE2169" w:rsidRDefault="00BE2169" w:rsidP="00C52803">
      <w:pPr>
        <w:spacing w:after="0" w:line="240" w:lineRule="auto"/>
        <w:rPr>
          <w:rFonts w:ascii="Times New Roman" w:hAnsi="Times New Roman" w:cs="Times New Roman"/>
          <w:b/>
          <w:i/>
        </w:rPr>
      </w:pPr>
    </w:p>
    <w:p w14:paraId="6FD29603" w14:textId="77777777" w:rsidR="00205054" w:rsidRDefault="0009793C" w:rsidP="0020505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CONCLUSIONS</w:t>
      </w:r>
    </w:p>
    <w:p w14:paraId="1A921E34" w14:textId="27EAA542" w:rsidR="00BE2169" w:rsidRPr="00205054" w:rsidRDefault="00C52803" w:rsidP="00205054">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rPr>
        <w:tab/>
      </w:r>
    </w:p>
    <w:p w14:paraId="731AFCE4" w14:textId="5535DD10" w:rsidR="00205054" w:rsidRPr="00205054" w:rsidRDefault="00205054" w:rsidP="00205054">
      <w:pPr>
        <w:ind w:firstLine="720"/>
        <w:jc w:val="both"/>
        <w:rPr>
          <w:rFonts w:ascii="Times New Roman" w:hAnsi="Times New Roman" w:cs="Times New Roman"/>
        </w:rPr>
      </w:pPr>
      <w:r w:rsidRPr="00205054">
        <w:rPr>
          <w:rFonts w:ascii="Times New Roman" w:hAnsi="Times New Roman" w:cs="Times New Roman"/>
        </w:rPr>
        <w:t xml:space="preserve">The determination of state territorial boundaries under international law rests on several sources: the Charter of the United Nations, customary international law, international treaties, and the United Nations Convention on the Law of the Sea (UNCLOS) 1982. Together, these sources aim to secure legal certainty over the scope of state sovereignty across land, sea, and air. The process of determining territorial boundaries proceeds through the stages of allocation, delimitation, demarcation, and administration, guided by core principles of international law state sovereignty, territorial integrity, </w:t>
      </w:r>
      <w:proofErr w:type="spellStart"/>
      <w:r w:rsidRPr="00205054">
        <w:rPr>
          <w:rFonts w:ascii="Times New Roman" w:hAnsi="Times New Roman" w:cs="Times New Roman"/>
        </w:rPr>
        <w:t>uti</w:t>
      </w:r>
      <w:proofErr w:type="spellEnd"/>
      <w:r w:rsidRPr="00205054">
        <w:rPr>
          <w:rFonts w:ascii="Times New Roman" w:hAnsi="Times New Roman" w:cs="Times New Roman"/>
        </w:rPr>
        <w:t xml:space="preserve"> possidetis juris, </w:t>
      </w:r>
      <w:proofErr w:type="spellStart"/>
      <w:r w:rsidRPr="00205054">
        <w:rPr>
          <w:rFonts w:ascii="Times New Roman" w:hAnsi="Times New Roman" w:cs="Times New Roman"/>
        </w:rPr>
        <w:t>effectivités</w:t>
      </w:r>
      <w:proofErr w:type="spellEnd"/>
      <w:r w:rsidRPr="00205054">
        <w:rPr>
          <w:rFonts w:ascii="Times New Roman" w:hAnsi="Times New Roman" w:cs="Times New Roman"/>
        </w:rPr>
        <w:t xml:space="preserve">, and equity principles reflected, for instance, in how the International Court of Justice weighed effective administration over historical claims in the </w:t>
      </w:r>
      <w:proofErr w:type="spellStart"/>
      <w:r w:rsidRPr="00205054">
        <w:rPr>
          <w:rFonts w:ascii="Times New Roman" w:hAnsi="Times New Roman" w:cs="Times New Roman"/>
        </w:rPr>
        <w:t>Sipadan-Ligitan</w:t>
      </w:r>
      <w:proofErr w:type="spellEnd"/>
      <w:r w:rsidRPr="00205054">
        <w:rPr>
          <w:rFonts w:ascii="Times New Roman" w:hAnsi="Times New Roman" w:cs="Times New Roman"/>
        </w:rPr>
        <w:t xml:space="preserve"> dispute.</w:t>
      </w:r>
    </w:p>
    <w:p w14:paraId="163D1911" w14:textId="0E6E9D09" w:rsidR="00205054" w:rsidRDefault="00205054" w:rsidP="00205054">
      <w:pPr>
        <w:ind w:firstLine="720"/>
        <w:jc w:val="both"/>
        <w:rPr>
          <w:rFonts w:ascii="Times New Roman" w:hAnsi="Times New Roman" w:cs="Times New Roman"/>
        </w:rPr>
      </w:pPr>
      <w:r w:rsidRPr="00205054">
        <w:rPr>
          <w:rFonts w:ascii="Times New Roman" w:hAnsi="Times New Roman" w:cs="Times New Roman"/>
        </w:rPr>
        <w:t xml:space="preserve">The settlement of territorial boundary disputes must, in principle, be pursued through peaceful means as mandated by the UN Charter, using mechanisms such as negotiation, mediation, conciliation, international arbitration, and adjudication before the International Court of Justice. Cases such as </w:t>
      </w:r>
      <w:proofErr w:type="spellStart"/>
      <w:r w:rsidRPr="00205054">
        <w:rPr>
          <w:rFonts w:ascii="Times New Roman" w:hAnsi="Times New Roman" w:cs="Times New Roman"/>
        </w:rPr>
        <w:t>Sipadan-Ligitan</w:t>
      </w:r>
      <w:proofErr w:type="spellEnd"/>
      <w:r w:rsidRPr="00205054">
        <w:rPr>
          <w:rFonts w:ascii="Times New Roman" w:hAnsi="Times New Roman" w:cs="Times New Roman"/>
        </w:rPr>
        <w:t xml:space="preserve">, Pedra Branca, </w:t>
      </w:r>
      <w:proofErr w:type="spellStart"/>
      <w:r w:rsidRPr="00205054">
        <w:rPr>
          <w:rFonts w:ascii="Times New Roman" w:hAnsi="Times New Roman" w:cs="Times New Roman"/>
        </w:rPr>
        <w:t>Ambalat</w:t>
      </w:r>
      <w:proofErr w:type="spellEnd"/>
      <w:r w:rsidRPr="00205054">
        <w:rPr>
          <w:rFonts w:ascii="Times New Roman" w:hAnsi="Times New Roman" w:cs="Times New Roman"/>
        </w:rPr>
        <w:t xml:space="preserve">, and the South China Sea dispute illustrate both the strengths and the limits of this framework: international law provides an adequate legal architecture and a range of settlement mechanisms, yet not every dispute reaches full resolution through them, as the unresolved status of </w:t>
      </w:r>
      <w:proofErr w:type="spellStart"/>
      <w:r w:rsidRPr="00205054">
        <w:rPr>
          <w:rFonts w:ascii="Times New Roman" w:hAnsi="Times New Roman" w:cs="Times New Roman"/>
        </w:rPr>
        <w:t>Ambalat</w:t>
      </w:r>
      <w:proofErr w:type="spellEnd"/>
      <w:r w:rsidRPr="00205054">
        <w:rPr>
          <w:rFonts w:ascii="Times New Roman" w:hAnsi="Times New Roman" w:cs="Times New Roman"/>
        </w:rPr>
        <w:t xml:space="preserve"> and the South China Sea shows. Ultimately, the effectiveness of these mechanisms depends less on the sufficiency of the legal framework itself than on the willingness and commitment of the disputing states to consistently respect and implement the provisions of international law</w:t>
      </w:r>
    </w:p>
    <w:p w14:paraId="3F338CC5" w14:textId="729D6CE8" w:rsidR="00C52803" w:rsidRDefault="00C52803" w:rsidP="00BE2169">
      <w:pPr>
        <w:spacing w:after="0" w:line="240" w:lineRule="auto"/>
        <w:jc w:val="both"/>
        <w:rPr>
          <w:rFonts w:ascii="Times New Roman" w:eastAsia="Times New Roman" w:hAnsi="Times New Roman" w:cs="Times New Roman"/>
          <w:b/>
          <w:sz w:val="24"/>
          <w:szCs w:val="24"/>
        </w:rPr>
      </w:pPr>
    </w:p>
    <w:p w14:paraId="37AC43B9" w14:textId="77777777" w:rsidR="00C52803" w:rsidRPr="00C52803" w:rsidRDefault="0009793C" w:rsidP="00C5280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ACKNOWLEDGMENTS</w:t>
      </w:r>
    </w:p>
    <w:p w14:paraId="63968C8F" w14:textId="77777777" w:rsidR="00BE2169" w:rsidRPr="00321336" w:rsidRDefault="00C52803" w:rsidP="00BE2169">
      <w:pPr>
        <w:jc w:val="both"/>
        <w:rPr>
          <w:rFonts w:ascii="Times New Roman" w:hAnsi="Times New Roman" w:cs="Times New Roman"/>
        </w:rPr>
      </w:pPr>
      <w:r>
        <w:rPr>
          <w:rFonts w:ascii="Times New Roman" w:eastAsia="Times New Roman" w:hAnsi="Times New Roman" w:cs="Times New Roman"/>
        </w:rPr>
        <w:tab/>
      </w:r>
      <w:r w:rsidR="00BE2169" w:rsidRPr="00321336">
        <w:rPr>
          <w:rFonts w:ascii="Times New Roman" w:hAnsi="Times New Roman" w:cs="Times New Roman"/>
        </w:rPr>
        <w:t xml:space="preserve">Praise and gratitude to the author to the presence of God Almighty for all His graces, gifts, and help so that the article entitled </w:t>
      </w:r>
      <w:r w:rsidR="00BE2169" w:rsidRPr="00321336">
        <w:rPr>
          <w:rFonts w:ascii="Times New Roman" w:hAnsi="Times New Roman" w:cs="Times New Roman"/>
          <w:b/>
          <w:bCs/>
        </w:rPr>
        <w:t xml:space="preserve">"Juridical Review of the Determination of State Territorial Boundaries According to the Provisions of International Law" </w:t>
      </w:r>
      <w:r w:rsidR="00BE2169" w:rsidRPr="00321336">
        <w:rPr>
          <w:rFonts w:ascii="Times New Roman" w:hAnsi="Times New Roman" w:cs="Times New Roman"/>
        </w:rPr>
        <w:t xml:space="preserve">This can be solved well. This article was compiled as a form of developing academic insight in the field of international law, especially related to the determination of national territorial boundaries and the settlement of territorial disputes between countries. </w:t>
      </w:r>
    </w:p>
    <w:p w14:paraId="219B3B78" w14:textId="77777777" w:rsidR="00BE2169" w:rsidRPr="00321336" w:rsidRDefault="00BE2169" w:rsidP="00BE2169">
      <w:pPr>
        <w:ind w:firstLine="720"/>
        <w:jc w:val="both"/>
        <w:rPr>
          <w:rFonts w:ascii="Times New Roman" w:hAnsi="Times New Roman" w:cs="Times New Roman"/>
        </w:rPr>
      </w:pPr>
      <w:r w:rsidRPr="00321336">
        <w:rPr>
          <w:rFonts w:ascii="Times New Roman" w:hAnsi="Times New Roman" w:cs="Times New Roman"/>
        </w:rPr>
        <w:t xml:space="preserve">The author expresses his deepest gratitude to both parents and families who always provide prayers, support, motivation, and enthusiasm in every lecture process and preparation of this article. The author also expressed his gratitude to the lecturers of the Faculty of Law, </w:t>
      </w:r>
      <w:proofErr w:type="spellStart"/>
      <w:r w:rsidRPr="00321336">
        <w:rPr>
          <w:rFonts w:ascii="Times New Roman" w:hAnsi="Times New Roman" w:cs="Times New Roman"/>
        </w:rPr>
        <w:t>Pertiba</w:t>
      </w:r>
      <w:proofErr w:type="spellEnd"/>
      <w:r w:rsidRPr="00321336">
        <w:rPr>
          <w:rFonts w:ascii="Times New Roman" w:hAnsi="Times New Roman" w:cs="Times New Roman"/>
        </w:rPr>
        <w:t xml:space="preserve"> </w:t>
      </w:r>
      <w:proofErr w:type="spellStart"/>
      <w:r w:rsidRPr="00321336">
        <w:rPr>
          <w:rFonts w:ascii="Times New Roman" w:hAnsi="Times New Roman" w:cs="Times New Roman"/>
        </w:rPr>
        <w:t>Pangkalpinang</w:t>
      </w:r>
      <w:proofErr w:type="spellEnd"/>
      <w:r w:rsidRPr="00321336">
        <w:rPr>
          <w:rFonts w:ascii="Times New Roman" w:hAnsi="Times New Roman" w:cs="Times New Roman"/>
        </w:rPr>
        <w:t xml:space="preserve"> University who have provided knowledge, guidance, and insights that are very useful during the study period. </w:t>
      </w:r>
    </w:p>
    <w:p w14:paraId="5B452530" w14:textId="77777777" w:rsidR="00BE2169" w:rsidRPr="00321336" w:rsidRDefault="00BE2169" w:rsidP="00413915">
      <w:pPr>
        <w:ind w:firstLine="720"/>
        <w:jc w:val="both"/>
        <w:rPr>
          <w:rFonts w:ascii="Times New Roman" w:hAnsi="Times New Roman" w:cs="Times New Roman"/>
        </w:rPr>
      </w:pPr>
      <w:r w:rsidRPr="00321336">
        <w:rPr>
          <w:rFonts w:ascii="Times New Roman" w:hAnsi="Times New Roman" w:cs="Times New Roman"/>
        </w:rPr>
        <w:t>The author also expresses his gratitude to various parties who have helped, both directly and indirectly, in the process of preparing this article, including fellow students who have provided input and support. The author realizes that this article still has limitations and is far from perfect. Therefore, the author expects constructive criticism and suggestions for the improvement and refinement of this scientific work in the future.</w:t>
      </w:r>
    </w:p>
    <w:p w14:paraId="06B07DEE" w14:textId="77777777" w:rsidR="00BE2169" w:rsidRPr="00321336" w:rsidRDefault="00BE2169" w:rsidP="00413915">
      <w:pPr>
        <w:ind w:firstLine="720"/>
        <w:jc w:val="both"/>
        <w:rPr>
          <w:rFonts w:ascii="Times New Roman" w:hAnsi="Times New Roman" w:cs="Times New Roman"/>
        </w:rPr>
      </w:pPr>
      <w:r w:rsidRPr="00321336">
        <w:rPr>
          <w:rFonts w:ascii="Times New Roman" w:hAnsi="Times New Roman" w:cs="Times New Roman"/>
        </w:rPr>
        <w:t>Finally, the author hopes that this article can provide benefits and increase knowledge for readers, especially regarding the regulation of determining national territorial boundaries and resolving territorial disputes according to international law.</w:t>
      </w:r>
    </w:p>
    <w:p w14:paraId="5F0AE364" w14:textId="77777777" w:rsidR="00C52803" w:rsidRDefault="00C52803" w:rsidP="00C52803">
      <w:pPr>
        <w:spacing w:after="0" w:line="240" w:lineRule="auto"/>
        <w:rPr>
          <w:rFonts w:ascii="Times New Roman" w:eastAsia="Times New Roman" w:hAnsi="Times New Roman" w:cs="Times New Roman"/>
          <w:b/>
          <w:sz w:val="24"/>
          <w:szCs w:val="24"/>
        </w:rPr>
      </w:pPr>
    </w:p>
    <w:p w14:paraId="3FC7C866" w14:textId="41D82BC3" w:rsidR="00BE2169" w:rsidRPr="00BE2169" w:rsidRDefault="0009793C" w:rsidP="00065AF0">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REFERENCES</w:t>
      </w:r>
    </w:p>
    <w:p w14:paraId="2AD897F0" w14:textId="77777777" w:rsidR="00065AF0" w:rsidRPr="00725814" w:rsidRDefault="00065AF0" w:rsidP="00065AF0">
      <w:pPr>
        <w:ind w:left="720" w:hanging="720"/>
        <w:rPr>
          <w:rFonts w:ascii="Times New Roman" w:hAnsi="Times New Roman" w:cs="Times New Roman"/>
        </w:rPr>
      </w:pPr>
      <w:proofErr w:type="spellStart"/>
      <w:r w:rsidRPr="00725814">
        <w:rPr>
          <w:rFonts w:ascii="Times New Roman" w:hAnsi="Times New Roman" w:cs="Times New Roman"/>
        </w:rPr>
        <w:t>alcolm</w:t>
      </w:r>
      <w:proofErr w:type="spellEnd"/>
      <w:r w:rsidRPr="00725814">
        <w:rPr>
          <w:rFonts w:ascii="Times New Roman" w:hAnsi="Times New Roman" w:cs="Times New Roman"/>
        </w:rPr>
        <w:t xml:space="preserve"> N. Shaw, </w:t>
      </w:r>
      <w:r w:rsidRPr="00725814">
        <w:rPr>
          <w:rFonts w:ascii="Times New Roman" w:hAnsi="Times New Roman" w:cs="Times New Roman"/>
          <w:i/>
          <w:iCs/>
        </w:rPr>
        <w:t>International Law</w:t>
      </w:r>
      <w:r w:rsidRPr="00725814">
        <w:rPr>
          <w:rFonts w:ascii="Times New Roman" w:hAnsi="Times New Roman" w:cs="Times New Roman"/>
        </w:rPr>
        <w:t>, 8th ed. (Cambridge: Cambridge University Press, 2017), hlm. 362.</w:t>
      </w:r>
    </w:p>
    <w:p w14:paraId="5249AC1A" w14:textId="77777777" w:rsidR="00065AF0" w:rsidRPr="00725814" w:rsidRDefault="00065AF0" w:rsidP="00065AF0">
      <w:pPr>
        <w:ind w:left="720" w:hanging="720"/>
        <w:rPr>
          <w:rFonts w:ascii="Times New Roman" w:hAnsi="Times New Roman" w:cs="Times New Roman"/>
          <w:lang w:val="en-US"/>
        </w:rPr>
      </w:pPr>
      <w:r w:rsidRPr="00725814">
        <w:rPr>
          <w:rFonts w:ascii="Times New Roman" w:hAnsi="Times New Roman" w:cs="Times New Roman"/>
        </w:rPr>
        <w:t xml:space="preserve">Boer Mauna, </w:t>
      </w:r>
      <w:r w:rsidRPr="00725814">
        <w:rPr>
          <w:rFonts w:ascii="Times New Roman" w:hAnsi="Times New Roman" w:cs="Times New Roman"/>
          <w:i/>
          <w:iCs/>
        </w:rPr>
        <w:t>International Law</w:t>
      </w:r>
      <w:r w:rsidRPr="00725814">
        <w:rPr>
          <w:rFonts w:ascii="Times New Roman" w:hAnsi="Times New Roman" w:cs="Times New Roman"/>
        </w:rPr>
        <w:t>, p. 324.</w:t>
      </w:r>
    </w:p>
    <w:p w14:paraId="6F5C3A15" w14:textId="77777777" w:rsidR="00065AF0" w:rsidRPr="00725814" w:rsidRDefault="00065AF0" w:rsidP="00065AF0">
      <w:pPr>
        <w:ind w:left="720" w:hanging="720"/>
        <w:rPr>
          <w:rFonts w:ascii="Times New Roman" w:hAnsi="Times New Roman" w:cs="Times New Roman"/>
        </w:rPr>
      </w:pPr>
      <w:r w:rsidRPr="00725814">
        <w:rPr>
          <w:rFonts w:ascii="Times New Roman" w:hAnsi="Times New Roman" w:cs="Times New Roman"/>
        </w:rPr>
        <w:t>Boer Mauna, International Law, p. 573.</w:t>
      </w:r>
    </w:p>
    <w:p w14:paraId="402D3343" w14:textId="77777777" w:rsidR="00065AF0" w:rsidRPr="00725814" w:rsidRDefault="00065AF0" w:rsidP="00065AF0">
      <w:pPr>
        <w:ind w:left="720" w:hanging="720"/>
        <w:rPr>
          <w:rFonts w:ascii="Times New Roman" w:hAnsi="Times New Roman" w:cs="Times New Roman"/>
        </w:rPr>
      </w:pPr>
      <w:r w:rsidRPr="00725814">
        <w:rPr>
          <w:rFonts w:ascii="Times New Roman" w:hAnsi="Times New Roman" w:cs="Times New Roman"/>
        </w:rPr>
        <w:t>Boer Mauna, International Law, p. 585.</w:t>
      </w:r>
    </w:p>
    <w:p w14:paraId="21146017" w14:textId="77777777" w:rsidR="00065AF0" w:rsidRPr="00BE14DD" w:rsidRDefault="00065AF0" w:rsidP="00065AF0">
      <w:pPr>
        <w:ind w:left="720" w:hanging="720"/>
        <w:rPr>
          <w:rFonts w:ascii="Times New Roman" w:hAnsi="Times New Roman" w:cs="Times New Roman"/>
        </w:rPr>
      </w:pPr>
      <w:r w:rsidRPr="00BE14DD">
        <w:rPr>
          <w:rFonts w:ascii="Times New Roman" w:hAnsi="Times New Roman" w:cs="Times New Roman"/>
        </w:rPr>
        <w:t xml:space="preserve">Boer Mauna, </w:t>
      </w:r>
      <w:r w:rsidRPr="00BE14DD">
        <w:rPr>
          <w:rFonts w:ascii="Times New Roman" w:hAnsi="Times New Roman" w:cs="Times New Roman"/>
          <w:i/>
          <w:iCs/>
        </w:rPr>
        <w:t>International Law</w:t>
      </w:r>
      <w:r w:rsidRPr="00BE14DD">
        <w:rPr>
          <w:rFonts w:ascii="Times New Roman" w:hAnsi="Times New Roman" w:cs="Times New Roman"/>
        </w:rPr>
        <w:t>, pp. 295–299.</w:t>
      </w:r>
    </w:p>
    <w:p w14:paraId="25B72886" w14:textId="77777777" w:rsidR="00065AF0" w:rsidRPr="00725814" w:rsidRDefault="00065AF0" w:rsidP="00065AF0">
      <w:pPr>
        <w:ind w:left="720" w:hanging="720"/>
        <w:rPr>
          <w:rFonts w:ascii="Times New Roman" w:hAnsi="Times New Roman" w:cs="Times New Roman"/>
        </w:rPr>
      </w:pPr>
      <w:r w:rsidRPr="00725814">
        <w:rPr>
          <w:rFonts w:ascii="Times New Roman" w:hAnsi="Times New Roman" w:cs="Times New Roman"/>
        </w:rPr>
        <w:t xml:space="preserve">Boer Mauna, </w:t>
      </w:r>
      <w:r w:rsidRPr="00725814">
        <w:rPr>
          <w:rFonts w:ascii="Times New Roman" w:hAnsi="Times New Roman" w:cs="Times New Roman"/>
          <w:i/>
          <w:iCs/>
        </w:rPr>
        <w:t>International Law: Definition, Role and Function in the Era of Global Dynamics</w:t>
      </w:r>
      <w:r w:rsidRPr="00725814">
        <w:rPr>
          <w:rFonts w:ascii="Times New Roman" w:hAnsi="Times New Roman" w:cs="Times New Roman"/>
        </w:rPr>
        <w:t xml:space="preserve"> (Bandung: Alumni, 2015), p. 302.</w:t>
      </w:r>
    </w:p>
    <w:p w14:paraId="7E9A722B" w14:textId="77777777" w:rsidR="00065AF0" w:rsidRPr="00BE14DD" w:rsidRDefault="00065AF0" w:rsidP="00065AF0">
      <w:pPr>
        <w:ind w:left="720" w:hanging="720"/>
        <w:rPr>
          <w:rFonts w:ascii="Times New Roman" w:hAnsi="Times New Roman" w:cs="Times New Roman"/>
        </w:rPr>
      </w:pPr>
      <w:r w:rsidRPr="00BE14DD">
        <w:rPr>
          <w:rFonts w:ascii="Times New Roman" w:hAnsi="Times New Roman" w:cs="Times New Roman"/>
        </w:rPr>
        <w:t xml:space="preserve">Boer Mauna, </w:t>
      </w:r>
      <w:r w:rsidRPr="00BE14DD">
        <w:rPr>
          <w:rFonts w:ascii="Times New Roman" w:hAnsi="Times New Roman" w:cs="Times New Roman"/>
          <w:i/>
          <w:iCs/>
        </w:rPr>
        <w:t>International Law: Meaning, Role and Function in the Era of Global Dynamics</w:t>
      </w:r>
      <w:r w:rsidRPr="00BE14DD">
        <w:rPr>
          <w:rFonts w:ascii="Times New Roman" w:hAnsi="Times New Roman" w:cs="Times New Roman"/>
        </w:rPr>
        <w:t>, Second Edition (Bandung: Alumni, 2015), pp. 288–290.</w:t>
      </w:r>
    </w:p>
    <w:p w14:paraId="061AE57E" w14:textId="77777777" w:rsidR="00065AF0" w:rsidRPr="00725814" w:rsidRDefault="00065AF0" w:rsidP="00065AF0">
      <w:pPr>
        <w:ind w:left="720" w:hanging="720"/>
        <w:rPr>
          <w:rFonts w:ascii="Times New Roman" w:hAnsi="Times New Roman" w:cs="Times New Roman"/>
        </w:rPr>
      </w:pPr>
      <w:r w:rsidRPr="00725814">
        <w:rPr>
          <w:rFonts w:ascii="Times New Roman" w:hAnsi="Times New Roman" w:cs="Times New Roman"/>
        </w:rPr>
        <w:t>Charter of the United Nations 1945, Article 2(3).</w:t>
      </w:r>
    </w:p>
    <w:p w14:paraId="50E2CEA4" w14:textId="77777777" w:rsidR="00065AF0" w:rsidRPr="00725814" w:rsidRDefault="00065AF0" w:rsidP="00065AF0">
      <w:pPr>
        <w:ind w:left="720" w:hanging="720"/>
        <w:rPr>
          <w:rFonts w:ascii="Times New Roman" w:hAnsi="Times New Roman" w:cs="Times New Roman"/>
        </w:rPr>
      </w:pPr>
      <w:r w:rsidRPr="00725814">
        <w:rPr>
          <w:rFonts w:ascii="Times New Roman" w:hAnsi="Times New Roman" w:cs="Times New Roman"/>
        </w:rPr>
        <w:t>Charter of the United Nations 1945, Article 2(4).</w:t>
      </w:r>
    </w:p>
    <w:p w14:paraId="281E4870" w14:textId="77777777" w:rsidR="00065AF0" w:rsidRPr="00725814" w:rsidRDefault="00065AF0" w:rsidP="00065AF0">
      <w:pPr>
        <w:ind w:left="720" w:hanging="720"/>
        <w:rPr>
          <w:rFonts w:ascii="Times New Roman" w:hAnsi="Times New Roman" w:cs="Times New Roman"/>
        </w:rPr>
      </w:pPr>
      <w:r w:rsidRPr="00725814">
        <w:rPr>
          <w:rFonts w:ascii="Times New Roman" w:hAnsi="Times New Roman" w:cs="Times New Roman"/>
        </w:rPr>
        <w:t>Charter of the United Nations 1945, Article 2(4).</w:t>
      </w:r>
    </w:p>
    <w:p w14:paraId="2CCDC8E1" w14:textId="77777777" w:rsidR="00065AF0" w:rsidRPr="00725814" w:rsidRDefault="00065AF0" w:rsidP="00065AF0">
      <w:pPr>
        <w:ind w:left="720" w:hanging="720"/>
        <w:rPr>
          <w:rFonts w:ascii="Times New Roman" w:hAnsi="Times New Roman" w:cs="Times New Roman"/>
        </w:rPr>
      </w:pPr>
      <w:r w:rsidRPr="00725814">
        <w:rPr>
          <w:rFonts w:ascii="Times New Roman" w:hAnsi="Times New Roman" w:cs="Times New Roman"/>
        </w:rPr>
        <w:t>Charter of the United Nations 1945, Article 33.</w:t>
      </w:r>
    </w:p>
    <w:p w14:paraId="6DA0318F" w14:textId="77777777" w:rsidR="00065AF0" w:rsidRPr="00725814" w:rsidRDefault="00065AF0" w:rsidP="00065AF0">
      <w:pPr>
        <w:ind w:left="720" w:hanging="720"/>
        <w:rPr>
          <w:rFonts w:ascii="Times New Roman" w:hAnsi="Times New Roman" w:cs="Times New Roman"/>
        </w:rPr>
      </w:pPr>
      <w:r w:rsidRPr="00725814">
        <w:rPr>
          <w:rFonts w:ascii="Times New Roman" w:hAnsi="Times New Roman" w:cs="Times New Roman"/>
        </w:rPr>
        <w:t>Charter of the United Nations 1945, Article 33.</w:t>
      </w:r>
    </w:p>
    <w:p w14:paraId="359A2247" w14:textId="77777777" w:rsidR="00065AF0" w:rsidRPr="00725814" w:rsidRDefault="00065AF0" w:rsidP="00065AF0">
      <w:pPr>
        <w:ind w:left="720" w:hanging="720"/>
        <w:rPr>
          <w:rFonts w:ascii="Times New Roman" w:hAnsi="Times New Roman" w:cs="Times New Roman"/>
        </w:rPr>
      </w:pPr>
      <w:r w:rsidRPr="00725814">
        <w:rPr>
          <w:rFonts w:ascii="Times New Roman" w:hAnsi="Times New Roman" w:cs="Times New Roman"/>
        </w:rPr>
        <w:t>Charter of the United Nations 1945.</w:t>
      </w:r>
    </w:p>
    <w:p w14:paraId="7521C3D9" w14:textId="77777777" w:rsidR="00065AF0" w:rsidRPr="00725814" w:rsidRDefault="00065AF0" w:rsidP="00065AF0">
      <w:pPr>
        <w:ind w:left="720" w:hanging="720"/>
        <w:rPr>
          <w:rFonts w:ascii="Times New Roman" w:hAnsi="Times New Roman" w:cs="Times New Roman"/>
        </w:rPr>
      </w:pPr>
      <w:r w:rsidRPr="00725814">
        <w:rPr>
          <w:rFonts w:ascii="Times New Roman" w:hAnsi="Times New Roman" w:cs="Times New Roman"/>
          <w:i/>
          <w:iCs/>
        </w:rPr>
        <w:t>Frontier Dispute (Burkina Faso v. Mali)</w:t>
      </w:r>
      <w:r w:rsidRPr="00725814">
        <w:rPr>
          <w:rFonts w:ascii="Times New Roman" w:hAnsi="Times New Roman" w:cs="Times New Roman"/>
        </w:rPr>
        <w:t>, ICJ Reports 1986.</w:t>
      </w:r>
    </w:p>
    <w:p w14:paraId="2B6355AB" w14:textId="77777777" w:rsidR="00065AF0" w:rsidRPr="00725814" w:rsidRDefault="00065AF0" w:rsidP="00065AF0">
      <w:pPr>
        <w:ind w:left="720" w:hanging="720"/>
        <w:rPr>
          <w:rFonts w:ascii="Times New Roman" w:hAnsi="Times New Roman" w:cs="Times New Roman"/>
        </w:rPr>
      </w:pPr>
      <w:r w:rsidRPr="00725814">
        <w:rPr>
          <w:rFonts w:ascii="Times New Roman" w:hAnsi="Times New Roman" w:cs="Times New Roman"/>
        </w:rPr>
        <w:t>Frontier Dispute (Burkina Faso v. Mali), ICJ Reports 1986.</w:t>
      </w:r>
    </w:p>
    <w:p w14:paraId="1CDA4216" w14:textId="77777777" w:rsidR="00065AF0" w:rsidRPr="00BE14DD" w:rsidRDefault="00065AF0" w:rsidP="00065AF0">
      <w:pPr>
        <w:ind w:left="720" w:hanging="720"/>
        <w:rPr>
          <w:rFonts w:ascii="Times New Roman" w:hAnsi="Times New Roman" w:cs="Times New Roman"/>
        </w:rPr>
      </w:pPr>
      <w:r w:rsidRPr="00BE14DD">
        <w:rPr>
          <w:rFonts w:ascii="Times New Roman" w:hAnsi="Times New Roman" w:cs="Times New Roman"/>
        </w:rPr>
        <w:t xml:space="preserve">I Made Andi </w:t>
      </w:r>
      <w:proofErr w:type="spellStart"/>
      <w:r w:rsidRPr="00BE14DD">
        <w:rPr>
          <w:rFonts w:ascii="Times New Roman" w:hAnsi="Times New Roman" w:cs="Times New Roman"/>
        </w:rPr>
        <w:t>Arsana</w:t>
      </w:r>
      <w:proofErr w:type="spellEnd"/>
      <w:r w:rsidRPr="00BE14DD">
        <w:rPr>
          <w:rFonts w:ascii="Times New Roman" w:hAnsi="Times New Roman" w:cs="Times New Roman"/>
        </w:rPr>
        <w:t xml:space="preserve">, </w:t>
      </w:r>
      <w:r w:rsidRPr="00BE14DD">
        <w:rPr>
          <w:rFonts w:ascii="Times New Roman" w:hAnsi="Times New Roman" w:cs="Times New Roman"/>
          <w:i/>
          <w:iCs/>
        </w:rPr>
        <w:t>Maritime Boundaries Between Countries: A Technical and Juridical Review</w:t>
      </w:r>
      <w:r w:rsidRPr="00BE14DD">
        <w:rPr>
          <w:rFonts w:ascii="Times New Roman" w:hAnsi="Times New Roman" w:cs="Times New Roman"/>
        </w:rPr>
        <w:t xml:space="preserve"> (Yogyakarta: Gadjah Mada University Press, 2018), pp. 95–103.</w:t>
      </w:r>
    </w:p>
    <w:p w14:paraId="7C260BF9" w14:textId="77777777" w:rsidR="00065AF0" w:rsidRPr="00725814" w:rsidRDefault="00065AF0" w:rsidP="00065AF0">
      <w:pPr>
        <w:ind w:left="720" w:hanging="720"/>
        <w:rPr>
          <w:rFonts w:ascii="Times New Roman" w:hAnsi="Times New Roman" w:cs="Times New Roman"/>
        </w:rPr>
      </w:pPr>
      <w:r w:rsidRPr="00725814">
        <w:rPr>
          <w:rFonts w:ascii="Times New Roman" w:hAnsi="Times New Roman" w:cs="Times New Roman"/>
        </w:rPr>
        <w:t xml:space="preserve">Ian Brownlie, </w:t>
      </w:r>
      <w:r w:rsidRPr="00725814">
        <w:rPr>
          <w:rFonts w:ascii="Times New Roman" w:hAnsi="Times New Roman" w:cs="Times New Roman"/>
          <w:i/>
          <w:iCs/>
        </w:rPr>
        <w:t>Principles of Public International Law</w:t>
      </w:r>
      <w:r w:rsidRPr="00725814">
        <w:rPr>
          <w:rFonts w:ascii="Times New Roman" w:hAnsi="Times New Roman" w:cs="Times New Roman"/>
        </w:rPr>
        <w:t>, 8th ed. (Oxford: Oxford University Press, 2012), hlm. 24.</w:t>
      </w:r>
    </w:p>
    <w:p w14:paraId="5AA64252" w14:textId="77777777" w:rsidR="00065AF0" w:rsidRPr="00725814" w:rsidRDefault="00065AF0" w:rsidP="00065AF0">
      <w:pPr>
        <w:ind w:left="720" w:hanging="720"/>
        <w:rPr>
          <w:rFonts w:ascii="Times New Roman" w:hAnsi="Times New Roman" w:cs="Times New Roman"/>
        </w:rPr>
      </w:pPr>
      <w:r w:rsidRPr="00725814">
        <w:rPr>
          <w:rFonts w:ascii="Times New Roman" w:hAnsi="Times New Roman" w:cs="Times New Roman"/>
        </w:rPr>
        <w:t>J.G. Starke, Introduction to International Law, p. 511.</w:t>
      </w:r>
    </w:p>
    <w:p w14:paraId="374B2F2A" w14:textId="77777777" w:rsidR="00065AF0" w:rsidRPr="00725814" w:rsidRDefault="00065AF0" w:rsidP="00065AF0">
      <w:pPr>
        <w:ind w:left="720" w:hanging="720"/>
        <w:rPr>
          <w:rFonts w:ascii="Times New Roman" w:hAnsi="Times New Roman" w:cs="Times New Roman"/>
        </w:rPr>
      </w:pPr>
      <w:r w:rsidRPr="00725814">
        <w:rPr>
          <w:rFonts w:ascii="Times New Roman" w:hAnsi="Times New Roman" w:cs="Times New Roman"/>
        </w:rPr>
        <w:t>J.G. Starke, Introduction to International Law, p. 607.</w:t>
      </w:r>
    </w:p>
    <w:p w14:paraId="5A5D1CE6" w14:textId="77777777" w:rsidR="00065AF0" w:rsidRPr="00725814" w:rsidRDefault="00065AF0" w:rsidP="00065AF0">
      <w:pPr>
        <w:ind w:left="720" w:hanging="720"/>
        <w:rPr>
          <w:rFonts w:ascii="Times New Roman" w:hAnsi="Times New Roman" w:cs="Times New Roman"/>
          <w:lang w:val="en-US"/>
        </w:rPr>
      </w:pPr>
      <w:r w:rsidRPr="00725814">
        <w:rPr>
          <w:rFonts w:ascii="Times New Roman" w:hAnsi="Times New Roman" w:cs="Times New Roman"/>
        </w:rPr>
        <w:t>J.G. Starke, Introduction to International Law, p. 610.</w:t>
      </w:r>
    </w:p>
    <w:p w14:paraId="412A77B3" w14:textId="77777777" w:rsidR="00065AF0" w:rsidRPr="00725814" w:rsidRDefault="00065AF0" w:rsidP="00065AF0">
      <w:pPr>
        <w:ind w:left="720" w:hanging="720"/>
        <w:rPr>
          <w:rFonts w:ascii="Times New Roman" w:hAnsi="Times New Roman" w:cs="Times New Roman"/>
        </w:rPr>
      </w:pPr>
      <w:r w:rsidRPr="00725814">
        <w:rPr>
          <w:rFonts w:ascii="Times New Roman" w:hAnsi="Times New Roman" w:cs="Times New Roman"/>
        </w:rPr>
        <w:t xml:space="preserve">J.G. Starke, </w:t>
      </w:r>
      <w:r w:rsidRPr="00725814">
        <w:rPr>
          <w:rFonts w:ascii="Times New Roman" w:hAnsi="Times New Roman" w:cs="Times New Roman"/>
          <w:i/>
          <w:iCs/>
        </w:rPr>
        <w:t>Introduction to International Law</w:t>
      </w:r>
      <w:r w:rsidRPr="00725814">
        <w:rPr>
          <w:rFonts w:ascii="Times New Roman" w:hAnsi="Times New Roman" w:cs="Times New Roman"/>
        </w:rPr>
        <w:t>, Tenth Edition (Jakarta: Sinar Grafika, 2010), p. 188.</w:t>
      </w:r>
    </w:p>
    <w:p w14:paraId="153EE732" w14:textId="77777777" w:rsidR="00065AF0" w:rsidRPr="00BE14DD" w:rsidRDefault="00065AF0" w:rsidP="00065AF0">
      <w:pPr>
        <w:ind w:left="720" w:hanging="720"/>
        <w:rPr>
          <w:rFonts w:ascii="Times New Roman" w:hAnsi="Times New Roman" w:cs="Times New Roman"/>
        </w:rPr>
      </w:pPr>
      <w:r w:rsidRPr="00BE14DD">
        <w:rPr>
          <w:rFonts w:ascii="Times New Roman" w:hAnsi="Times New Roman" w:cs="Times New Roman"/>
        </w:rPr>
        <w:t xml:space="preserve">J.G. Starke, </w:t>
      </w:r>
      <w:r w:rsidRPr="00BE14DD">
        <w:rPr>
          <w:rFonts w:ascii="Times New Roman" w:hAnsi="Times New Roman" w:cs="Times New Roman"/>
          <w:i/>
          <w:iCs/>
        </w:rPr>
        <w:t>Introduction to International Law</w:t>
      </w:r>
      <w:r w:rsidRPr="00BE14DD">
        <w:rPr>
          <w:rFonts w:ascii="Times New Roman" w:hAnsi="Times New Roman" w:cs="Times New Roman"/>
        </w:rPr>
        <w:t>, Tenth Edition, translated by Bambang Iriana Djajaatmadja (Jakarta: Sinar Grafika, 2018), p. 213.</w:t>
      </w:r>
    </w:p>
    <w:p w14:paraId="2938227C" w14:textId="77777777" w:rsidR="00065AF0" w:rsidRPr="00BE14DD" w:rsidRDefault="00065AF0" w:rsidP="00065AF0">
      <w:pPr>
        <w:ind w:left="720" w:hanging="720"/>
        <w:rPr>
          <w:rFonts w:ascii="Times New Roman" w:hAnsi="Times New Roman" w:cs="Times New Roman"/>
        </w:rPr>
      </w:pPr>
      <w:r w:rsidRPr="00BE14DD">
        <w:rPr>
          <w:rFonts w:ascii="Times New Roman" w:hAnsi="Times New Roman" w:cs="Times New Roman"/>
        </w:rPr>
        <w:t xml:space="preserve">James Crawford, </w:t>
      </w:r>
      <w:r w:rsidRPr="00BE14DD">
        <w:rPr>
          <w:rFonts w:ascii="Times New Roman" w:hAnsi="Times New Roman" w:cs="Times New Roman"/>
          <w:i/>
          <w:iCs/>
        </w:rPr>
        <w:t>Brownlie's Principles of Public International Law</w:t>
      </w:r>
      <w:r w:rsidRPr="00BE14DD">
        <w:rPr>
          <w:rFonts w:ascii="Times New Roman" w:hAnsi="Times New Roman" w:cs="Times New Roman"/>
        </w:rPr>
        <w:t>, 9th ed. (Oxford: Oxford University Press, 2019), hlm. 222–228.</w:t>
      </w:r>
    </w:p>
    <w:p w14:paraId="698FC729" w14:textId="77777777" w:rsidR="00065AF0" w:rsidRPr="00BE14DD" w:rsidRDefault="00065AF0" w:rsidP="00065AF0">
      <w:pPr>
        <w:ind w:left="720" w:hanging="720"/>
        <w:rPr>
          <w:rFonts w:ascii="Times New Roman" w:hAnsi="Times New Roman" w:cs="Times New Roman"/>
        </w:rPr>
      </w:pPr>
      <w:r w:rsidRPr="00BE14DD">
        <w:rPr>
          <w:rFonts w:ascii="Times New Roman" w:hAnsi="Times New Roman" w:cs="Times New Roman"/>
        </w:rPr>
        <w:t xml:space="preserve">Malcolm N. Shaw, </w:t>
      </w:r>
      <w:r w:rsidRPr="00BE14DD">
        <w:rPr>
          <w:rFonts w:ascii="Times New Roman" w:hAnsi="Times New Roman" w:cs="Times New Roman"/>
          <w:i/>
          <w:iCs/>
        </w:rPr>
        <w:t>International Law</w:t>
      </w:r>
      <w:r w:rsidRPr="00BE14DD">
        <w:rPr>
          <w:rFonts w:ascii="Times New Roman" w:hAnsi="Times New Roman" w:cs="Times New Roman"/>
        </w:rPr>
        <w:t>, 9th ed. (Cambridge: Cambridge University Press, 2021), hlm. 331–336.</w:t>
      </w:r>
    </w:p>
    <w:p w14:paraId="4BD8611C" w14:textId="77777777" w:rsidR="00065AF0" w:rsidRPr="00725814" w:rsidRDefault="00065AF0" w:rsidP="00065AF0">
      <w:pPr>
        <w:ind w:left="720" w:hanging="720"/>
        <w:rPr>
          <w:rFonts w:ascii="Times New Roman" w:hAnsi="Times New Roman" w:cs="Times New Roman"/>
        </w:rPr>
      </w:pPr>
      <w:r w:rsidRPr="00725814">
        <w:rPr>
          <w:rFonts w:ascii="Times New Roman" w:hAnsi="Times New Roman" w:cs="Times New Roman"/>
        </w:rPr>
        <w:t>Malcolm N. Shaw, International Law, hlm. 365.</w:t>
      </w:r>
    </w:p>
    <w:p w14:paraId="47125A9E" w14:textId="77777777" w:rsidR="00065AF0" w:rsidRPr="00BE14DD" w:rsidRDefault="00065AF0" w:rsidP="00065AF0">
      <w:pPr>
        <w:ind w:left="720" w:hanging="720"/>
        <w:rPr>
          <w:rFonts w:ascii="Times New Roman" w:hAnsi="Times New Roman" w:cs="Times New Roman"/>
        </w:rPr>
      </w:pPr>
      <w:r w:rsidRPr="00BE14DD">
        <w:rPr>
          <w:rFonts w:ascii="Times New Roman" w:hAnsi="Times New Roman" w:cs="Times New Roman"/>
        </w:rPr>
        <w:t xml:space="preserve">Malcolm N. Shaw, </w:t>
      </w:r>
      <w:r w:rsidRPr="00BE14DD">
        <w:rPr>
          <w:rFonts w:ascii="Times New Roman" w:hAnsi="Times New Roman" w:cs="Times New Roman"/>
          <w:i/>
          <w:iCs/>
        </w:rPr>
        <w:t>International Law</w:t>
      </w:r>
      <w:r w:rsidRPr="00BE14DD">
        <w:rPr>
          <w:rFonts w:ascii="Times New Roman" w:hAnsi="Times New Roman" w:cs="Times New Roman"/>
        </w:rPr>
        <w:t>, hlm. 489–495.</w:t>
      </w:r>
    </w:p>
    <w:p w14:paraId="262B4B5F" w14:textId="77777777" w:rsidR="00065AF0" w:rsidRPr="00725814" w:rsidRDefault="00065AF0" w:rsidP="00065AF0">
      <w:pPr>
        <w:ind w:left="720" w:hanging="720"/>
        <w:rPr>
          <w:rFonts w:ascii="Times New Roman" w:hAnsi="Times New Roman" w:cs="Times New Roman"/>
        </w:rPr>
      </w:pPr>
      <w:r w:rsidRPr="00725814">
        <w:rPr>
          <w:rFonts w:ascii="Times New Roman" w:hAnsi="Times New Roman" w:cs="Times New Roman"/>
        </w:rPr>
        <w:t xml:space="preserve">Malcolm N. Shaw, </w:t>
      </w:r>
      <w:r w:rsidRPr="00725814">
        <w:rPr>
          <w:rFonts w:ascii="Times New Roman" w:hAnsi="Times New Roman" w:cs="Times New Roman"/>
          <w:i/>
          <w:iCs/>
        </w:rPr>
        <w:t>International Law</w:t>
      </w:r>
      <w:r w:rsidRPr="00725814">
        <w:rPr>
          <w:rFonts w:ascii="Times New Roman" w:hAnsi="Times New Roman" w:cs="Times New Roman"/>
        </w:rPr>
        <w:t>, hlm. 72.</w:t>
      </w:r>
    </w:p>
    <w:p w14:paraId="65F74B88" w14:textId="77777777" w:rsidR="00065AF0" w:rsidRPr="00725814" w:rsidRDefault="00065AF0" w:rsidP="00065AF0">
      <w:pPr>
        <w:ind w:left="720" w:hanging="720"/>
        <w:rPr>
          <w:rFonts w:ascii="Times New Roman" w:hAnsi="Times New Roman" w:cs="Times New Roman"/>
        </w:rPr>
      </w:pPr>
      <w:r w:rsidRPr="00725814">
        <w:rPr>
          <w:rFonts w:ascii="Times New Roman" w:hAnsi="Times New Roman" w:cs="Times New Roman"/>
        </w:rPr>
        <w:t xml:space="preserve">Malcolm N. Shaw, </w:t>
      </w:r>
      <w:r w:rsidRPr="00725814">
        <w:rPr>
          <w:rFonts w:ascii="Times New Roman" w:hAnsi="Times New Roman" w:cs="Times New Roman"/>
          <w:i/>
          <w:iCs/>
        </w:rPr>
        <w:t>International Law</w:t>
      </w:r>
      <w:r w:rsidRPr="00725814">
        <w:rPr>
          <w:rFonts w:ascii="Times New Roman" w:hAnsi="Times New Roman" w:cs="Times New Roman"/>
        </w:rPr>
        <w:t>, hlm. 845.</w:t>
      </w:r>
    </w:p>
    <w:p w14:paraId="5B19A04F" w14:textId="77777777" w:rsidR="00065AF0" w:rsidRPr="00725814" w:rsidRDefault="00065AF0" w:rsidP="00065AF0">
      <w:pPr>
        <w:ind w:left="720" w:hanging="720"/>
        <w:rPr>
          <w:rFonts w:ascii="Times New Roman" w:hAnsi="Times New Roman" w:cs="Times New Roman"/>
        </w:rPr>
      </w:pPr>
      <w:r w:rsidRPr="00725814">
        <w:rPr>
          <w:rFonts w:ascii="Times New Roman" w:hAnsi="Times New Roman" w:cs="Times New Roman"/>
        </w:rPr>
        <w:t>Malcolm N. Shaw, International Law, hlm. 912.</w:t>
      </w:r>
    </w:p>
    <w:p w14:paraId="0127D2DD" w14:textId="77777777" w:rsidR="00065AF0" w:rsidRPr="00725814" w:rsidRDefault="00065AF0" w:rsidP="00065AF0">
      <w:pPr>
        <w:ind w:left="720" w:hanging="720"/>
        <w:rPr>
          <w:rFonts w:ascii="Times New Roman" w:hAnsi="Times New Roman" w:cs="Times New Roman"/>
        </w:rPr>
      </w:pPr>
      <w:r w:rsidRPr="00725814">
        <w:rPr>
          <w:rFonts w:ascii="Times New Roman" w:hAnsi="Times New Roman" w:cs="Times New Roman"/>
        </w:rPr>
        <w:t xml:space="preserve">Malcolm N. Shaw, </w:t>
      </w:r>
      <w:r w:rsidRPr="00725814">
        <w:rPr>
          <w:rFonts w:ascii="Times New Roman" w:hAnsi="Times New Roman" w:cs="Times New Roman"/>
          <w:i/>
          <w:iCs/>
        </w:rPr>
        <w:t>International Law</w:t>
      </w:r>
      <w:r w:rsidRPr="00725814">
        <w:rPr>
          <w:rFonts w:ascii="Times New Roman" w:hAnsi="Times New Roman" w:cs="Times New Roman"/>
        </w:rPr>
        <w:t>, hlm. 932</w:t>
      </w:r>
    </w:p>
    <w:p w14:paraId="6FD12BCB" w14:textId="77777777" w:rsidR="00065AF0" w:rsidRPr="00BE14DD" w:rsidRDefault="00065AF0" w:rsidP="00065AF0">
      <w:pPr>
        <w:ind w:left="720" w:hanging="720"/>
        <w:rPr>
          <w:rFonts w:ascii="Times New Roman" w:hAnsi="Times New Roman" w:cs="Times New Roman"/>
        </w:rPr>
      </w:pPr>
      <w:r w:rsidRPr="00BE14DD">
        <w:rPr>
          <w:rFonts w:ascii="Times New Roman" w:hAnsi="Times New Roman" w:cs="Times New Roman"/>
        </w:rPr>
        <w:t>Montevideo Convention on the Rights and Duties of States, Montevideo, 26 December 1933, Pasal 1.</w:t>
      </w:r>
    </w:p>
    <w:p w14:paraId="4689FDD6" w14:textId="77777777" w:rsidR="00065AF0" w:rsidRPr="00725814" w:rsidRDefault="00065AF0" w:rsidP="00065AF0">
      <w:pPr>
        <w:ind w:left="720" w:hanging="720"/>
        <w:rPr>
          <w:rFonts w:ascii="Times New Roman" w:hAnsi="Times New Roman" w:cs="Times New Roman"/>
          <w:lang w:val="en-US"/>
        </w:rPr>
      </w:pPr>
      <w:r w:rsidRPr="00725814">
        <w:rPr>
          <w:rFonts w:ascii="Times New Roman" w:hAnsi="Times New Roman" w:cs="Times New Roman"/>
        </w:rPr>
        <w:t>North Sea Continental Shelf Cases, ICJ Reports 1969.</w:t>
      </w:r>
    </w:p>
    <w:p w14:paraId="36DBE01F" w14:textId="77777777" w:rsidR="00065AF0" w:rsidRPr="00BE14DD" w:rsidRDefault="00065AF0" w:rsidP="00065AF0">
      <w:pPr>
        <w:ind w:left="720" w:hanging="720"/>
        <w:rPr>
          <w:rFonts w:ascii="Times New Roman" w:hAnsi="Times New Roman" w:cs="Times New Roman"/>
        </w:rPr>
      </w:pPr>
      <w:r w:rsidRPr="00BE14DD">
        <w:rPr>
          <w:rFonts w:ascii="Times New Roman" w:hAnsi="Times New Roman" w:cs="Times New Roman"/>
        </w:rPr>
        <w:t xml:space="preserve">R.R. Churchill, A.V. Lowe, and A.G. Oude Elferink, </w:t>
      </w:r>
      <w:r w:rsidRPr="00BE14DD">
        <w:rPr>
          <w:rFonts w:ascii="Times New Roman" w:hAnsi="Times New Roman" w:cs="Times New Roman"/>
          <w:i/>
          <w:iCs/>
        </w:rPr>
        <w:t>The Law of the Sea</w:t>
      </w:r>
      <w:r w:rsidRPr="00BE14DD">
        <w:rPr>
          <w:rFonts w:ascii="Times New Roman" w:hAnsi="Times New Roman" w:cs="Times New Roman"/>
        </w:rPr>
        <w:t>, 4th ed. (Manchester: Manchester University Press, 2022), hlm. 167–174.</w:t>
      </w:r>
    </w:p>
    <w:p w14:paraId="2C31D5E3" w14:textId="77777777" w:rsidR="00065AF0" w:rsidRPr="00725814" w:rsidRDefault="00065AF0" w:rsidP="00065AF0">
      <w:pPr>
        <w:ind w:left="720" w:hanging="720"/>
        <w:rPr>
          <w:rFonts w:ascii="Times New Roman" w:hAnsi="Times New Roman" w:cs="Times New Roman"/>
          <w:lang w:val="en-US"/>
        </w:rPr>
      </w:pPr>
      <w:r w:rsidRPr="00725814">
        <w:rPr>
          <w:rFonts w:ascii="Times New Roman" w:hAnsi="Times New Roman" w:cs="Times New Roman"/>
        </w:rPr>
        <w:t xml:space="preserve">Sovereignty over Pulau </w:t>
      </w:r>
      <w:proofErr w:type="spellStart"/>
      <w:r w:rsidRPr="00725814">
        <w:rPr>
          <w:rFonts w:ascii="Times New Roman" w:hAnsi="Times New Roman" w:cs="Times New Roman"/>
        </w:rPr>
        <w:t>Ligitan</w:t>
      </w:r>
      <w:proofErr w:type="spellEnd"/>
      <w:r w:rsidRPr="00725814">
        <w:rPr>
          <w:rFonts w:ascii="Times New Roman" w:hAnsi="Times New Roman" w:cs="Times New Roman"/>
        </w:rPr>
        <w:t xml:space="preserve"> and Pulau </w:t>
      </w:r>
      <w:proofErr w:type="spellStart"/>
      <w:r w:rsidRPr="00725814">
        <w:rPr>
          <w:rFonts w:ascii="Times New Roman" w:hAnsi="Times New Roman" w:cs="Times New Roman"/>
        </w:rPr>
        <w:t>Sipadan</w:t>
      </w:r>
      <w:proofErr w:type="spellEnd"/>
      <w:r w:rsidRPr="00725814">
        <w:rPr>
          <w:rFonts w:ascii="Times New Roman" w:hAnsi="Times New Roman" w:cs="Times New Roman"/>
        </w:rPr>
        <w:t xml:space="preserve"> (Indonesia v. Malaysia), ICJ Reports 2002.</w:t>
      </w:r>
    </w:p>
    <w:p w14:paraId="0EE72A07" w14:textId="77777777" w:rsidR="00065AF0" w:rsidRPr="00725814" w:rsidRDefault="00065AF0" w:rsidP="00065AF0">
      <w:pPr>
        <w:ind w:left="720" w:hanging="720"/>
        <w:rPr>
          <w:rFonts w:ascii="Times New Roman" w:hAnsi="Times New Roman" w:cs="Times New Roman"/>
          <w:lang w:val="en-US"/>
        </w:rPr>
      </w:pPr>
      <w:r w:rsidRPr="00725814">
        <w:rPr>
          <w:rFonts w:ascii="Times New Roman" w:hAnsi="Times New Roman" w:cs="Times New Roman"/>
        </w:rPr>
        <w:t>Statute of the International Court of Justice, Article 1.</w:t>
      </w:r>
    </w:p>
    <w:p w14:paraId="554409BC" w14:textId="77777777" w:rsidR="00065AF0" w:rsidRPr="00725814" w:rsidRDefault="00065AF0" w:rsidP="00065AF0">
      <w:pPr>
        <w:ind w:left="720" w:hanging="720"/>
        <w:rPr>
          <w:rFonts w:ascii="Times New Roman" w:hAnsi="Times New Roman" w:cs="Times New Roman"/>
          <w:lang w:val="en-US"/>
        </w:rPr>
      </w:pPr>
      <w:r w:rsidRPr="00725814">
        <w:rPr>
          <w:rFonts w:ascii="Times New Roman" w:hAnsi="Times New Roman" w:cs="Times New Roman"/>
        </w:rPr>
        <w:t>Statute of the International Court of Justice, Article 38(1)(b).</w:t>
      </w:r>
    </w:p>
    <w:p w14:paraId="2E365E2B" w14:textId="77777777" w:rsidR="00065AF0" w:rsidRPr="00725814" w:rsidRDefault="00065AF0" w:rsidP="00065AF0">
      <w:pPr>
        <w:ind w:left="720" w:hanging="720"/>
        <w:rPr>
          <w:rFonts w:ascii="Times New Roman" w:hAnsi="Times New Roman" w:cs="Times New Roman"/>
          <w:lang w:val="en-US"/>
        </w:rPr>
      </w:pPr>
      <w:r w:rsidRPr="00725814">
        <w:rPr>
          <w:rFonts w:ascii="Times New Roman" w:hAnsi="Times New Roman" w:cs="Times New Roman"/>
        </w:rPr>
        <w:t>UNCLOS 1982, Article 3.</w:t>
      </w:r>
    </w:p>
    <w:p w14:paraId="76C76E89" w14:textId="77777777" w:rsidR="00065AF0" w:rsidRPr="00725814" w:rsidRDefault="00065AF0" w:rsidP="00065AF0">
      <w:pPr>
        <w:ind w:left="720" w:hanging="720"/>
        <w:rPr>
          <w:rFonts w:ascii="Times New Roman" w:hAnsi="Times New Roman" w:cs="Times New Roman"/>
        </w:rPr>
      </w:pPr>
      <w:r w:rsidRPr="00725814">
        <w:rPr>
          <w:rFonts w:ascii="Times New Roman" w:hAnsi="Times New Roman" w:cs="Times New Roman"/>
        </w:rPr>
        <w:t>UNCLOS 1982, Articles 56 dan 77.</w:t>
      </w:r>
    </w:p>
    <w:p w14:paraId="5BE87295" w14:textId="77777777" w:rsidR="00065AF0" w:rsidRPr="00725814" w:rsidRDefault="00065AF0" w:rsidP="00065AF0">
      <w:pPr>
        <w:ind w:left="720" w:hanging="720"/>
        <w:rPr>
          <w:rFonts w:ascii="Times New Roman" w:hAnsi="Times New Roman" w:cs="Times New Roman"/>
        </w:rPr>
      </w:pPr>
      <w:r w:rsidRPr="00725814">
        <w:rPr>
          <w:rFonts w:ascii="Times New Roman" w:hAnsi="Times New Roman" w:cs="Times New Roman"/>
        </w:rPr>
        <w:t>UNCLOS 1982, Parts II–VI.</w:t>
      </w:r>
    </w:p>
    <w:p w14:paraId="7F809EDC" w14:textId="77777777" w:rsidR="00065AF0" w:rsidRPr="00725814" w:rsidRDefault="00065AF0" w:rsidP="00065AF0">
      <w:pPr>
        <w:ind w:left="720" w:hanging="720"/>
        <w:rPr>
          <w:rFonts w:ascii="Times New Roman" w:hAnsi="Times New Roman" w:cs="Times New Roman"/>
        </w:rPr>
      </w:pPr>
      <w:r w:rsidRPr="00725814">
        <w:rPr>
          <w:rFonts w:ascii="Times New Roman" w:hAnsi="Times New Roman" w:cs="Times New Roman"/>
        </w:rPr>
        <w:t>United Nations Convention on the Law of the Sea (UNCLOS) 1982.</w:t>
      </w:r>
    </w:p>
    <w:p w14:paraId="045B4ADF" w14:textId="77777777" w:rsidR="00065AF0" w:rsidRPr="00BE14DD" w:rsidRDefault="00065AF0" w:rsidP="00065AF0">
      <w:pPr>
        <w:ind w:left="720" w:hanging="720"/>
        <w:rPr>
          <w:rFonts w:ascii="Times New Roman" w:hAnsi="Times New Roman" w:cs="Times New Roman"/>
        </w:rPr>
      </w:pPr>
      <w:r w:rsidRPr="00BE14DD">
        <w:rPr>
          <w:rFonts w:ascii="Times New Roman" w:hAnsi="Times New Roman" w:cs="Times New Roman"/>
        </w:rPr>
        <w:t>United Nations Convention on the Law of the Sea, 1982, and the 1945 United Nations Charter, Chapter VI on the Peaceful Settlement of Disputes.</w:t>
      </w:r>
    </w:p>
    <w:p w14:paraId="3D5404AF" w14:textId="77777777" w:rsidR="00065AF0" w:rsidRPr="00725814" w:rsidRDefault="00065AF0" w:rsidP="00065AF0">
      <w:pPr>
        <w:ind w:left="720" w:hanging="720"/>
        <w:rPr>
          <w:rFonts w:ascii="Times New Roman" w:hAnsi="Times New Roman" w:cs="Times New Roman"/>
        </w:rPr>
      </w:pPr>
      <w:r w:rsidRPr="00725814">
        <w:rPr>
          <w:rFonts w:ascii="Times New Roman" w:hAnsi="Times New Roman" w:cs="Times New Roman"/>
        </w:rPr>
        <w:t>Vienna Convention on the Law of Treaties 1969, Article 26.</w:t>
      </w:r>
    </w:p>
    <w:p w14:paraId="5B4485D7" w14:textId="77777777" w:rsidR="00065AF0" w:rsidRPr="00725814" w:rsidRDefault="00065AF0" w:rsidP="00065AF0">
      <w:pPr>
        <w:ind w:left="720" w:hanging="720"/>
        <w:rPr>
          <w:rFonts w:ascii="Times New Roman" w:hAnsi="Times New Roman" w:cs="Times New Roman"/>
        </w:rPr>
      </w:pPr>
      <w:r w:rsidRPr="00725814">
        <w:rPr>
          <w:rFonts w:ascii="Times New Roman" w:hAnsi="Times New Roman" w:cs="Times New Roman"/>
        </w:rPr>
        <w:t>Vienna Convention on the Law of Treaties 1969.</w:t>
      </w:r>
    </w:p>
    <w:p w14:paraId="32302666" w14:textId="0FBD35F7" w:rsidR="00765FAD" w:rsidRDefault="00765FAD" w:rsidP="00BE2169">
      <w:pPr>
        <w:spacing w:after="0" w:line="240" w:lineRule="auto"/>
        <w:ind w:firstLine="567"/>
        <w:jc w:val="both"/>
      </w:pPr>
    </w:p>
    <w:sectPr w:rsidR="00765FAD">
      <w:headerReference w:type="default" r:id="rId7"/>
      <w:footerReference w:type="default" r:id="rId8"/>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D50AC6" w14:textId="77777777" w:rsidR="00214C19" w:rsidRDefault="00214C19" w:rsidP="0009793C">
      <w:pPr>
        <w:spacing w:after="0" w:line="240" w:lineRule="auto"/>
      </w:pPr>
      <w:r>
        <w:separator/>
      </w:r>
    </w:p>
  </w:endnote>
  <w:endnote w:type="continuationSeparator" w:id="0">
    <w:p w14:paraId="6D51FE9D" w14:textId="77777777" w:rsidR="00214C19" w:rsidRDefault="00214C19" w:rsidP="000979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61911392"/>
      <w:docPartObj>
        <w:docPartGallery w:val="Page Numbers (Bottom of Page)"/>
        <w:docPartUnique/>
      </w:docPartObj>
    </w:sdtPr>
    <w:sdtEndPr>
      <w:rPr>
        <w:noProof/>
      </w:rPr>
    </w:sdtEndPr>
    <w:sdtContent>
      <w:p w14:paraId="7F3D6A66" w14:textId="77777777" w:rsidR="001436D8" w:rsidRDefault="001436D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227CD47" w14:textId="77777777" w:rsidR="00B92BA9" w:rsidRDefault="00B92BA9">
    <w:pPr>
      <w:tabs>
        <w:tab w:val="center" w:pos="4513"/>
        <w:tab w:val="right" w:pos="9026"/>
      </w:tabs>
      <w:spacing w:after="0" w:line="24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4AE3EA" w14:textId="77777777" w:rsidR="00214C19" w:rsidRDefault="00214C19" w:rsidP="0009793C">
      <w:pPr>
        <w:spacing w:after="0" w:line="240" w:lineRule="auto"/>
      </w:pPr>
      <w:r>
        <w:separator/>
      </w:r>
    </w:p>
  </w:footnote>
  <w:footnote w:type="continuationSeparator" w:id="0">
    <w:p w14:paraId="27D1A93B" w14:textId="77777777" w:rsidR="00214C19" w:rsidRDefault="00214C19" w:rsidP="0009793C">
      <w:pPr>
        <w:spacing w:after="0" w:line="240" w:lineRule="auto"/>
      </w:pPr>
      <w:r>
        <w:continuationSeparator/>
      </w:r>
    </w:p>
  </w:footnote>
  <w:footnote w:id="1">
    <w:p w14:paraId="3AF60361" w14:textId="0459B399" w:rsidR="00455C43" w:rsidRPr="00BE2169" w:rsidRDefault="00455C43" w:rsidP="00065AF0">
      <w:pPr>
        <w:pStyle w:val="FootnoteText"/>
        <w:ind w:firstLine="567"/>
        <w:jc w:val="both"/>
        <w:rPr>
          <w:sz w:val="22"/>
          <w:szCs w:val="22"/>
          <w:lang w:val="en-GB"/>
        </w:rPr>
      </w:pPr>
      <w:r w:rsidRPr="00BE2169">
        <w:rPr>
          <w:rStyle w:val="FootnoteReference"/>
          <w:sz w:val="22"/>
          <w:szCs w:val="22"/>
        </w:rPr>
        <w:footnoteRef/>
      </w:r>
      <w:r w:rsidRPr="00BE2169">
        <w:rPr>
          <w:sz w:val="22"/>
          <w:szCs w:val="22"/>
        </w:rPr>
        <w:t xml:space="preserve"> </w:t>
      </w:r>
      <w:r w:rsidRPr="00BE2169">
        <w:rPr>
          <w:rFonts w:ascii="Times New Roman" w:hAnsi="Times New Roman" w:cs="Times New Roman"/>
          <w:sz w:val="22"/>
          <w:szCs w:val="22"/>
        </w:rPr>
        <w:t>Montevideo Convention on the Rights and Duties of States, Montevideo, 26 December 1933, Pasal 1</w:t>
      </w:r>
    </w:p>
  </w:footnote>
  <w:footnote w:id="2">
    <w:p w14:paraId="26A8E7DF" w14:textId="4FB83FC6" w:rsidR="00455C43" w:rsidRPr="00BE2169" w:rsidRDefault="00455C43" w:rsidP="00065AF0">
      <w:pPr>
        <w:pStyle w:val="FootnoteText"/>
        <w:ind w:firstLine="567"/>
        <w:jc w:val="both"/>
        <w:rPr>
          <w:sz w:val="22"/>
          <w:szCs w:val="22"/>
          <w:lang w:val="en-GB"/>
        </w:rPr>
      </w:pPr>
      <w:r w:rsidRPr="00BE2169">
        <w:rPr>
          <w:rStyle w:val="FootnoteReference"/>
          <w:sz w:val="22"/>
          <w:szCs w:val="22"/>
        </w:rPr>
        <w:footnoteRef/>
      </w:r>
      <w:r w:rsidRPr="00BE2169">
        <w:rPr>
          <w:sz w:val="22"/>
          <w:szCs w:val="22"/>
        </w:rPr>
        <w:t xml:space="preserve"> </w:t>
      </w:r>
      <w:r w:rsidRPr="00BE2169">
        <w:rPr>
          <w:rFonts w:ascii="Times New Roman" w:hAnsi="Times New Roman" w:cs="Times New Roman"/>
          <w:sz w:val="22"/>
          <w:szCs w:val="22"/>
        </w:rPr>
        <w:t xml:space="preserve">Malcolm N. Shaw, </w:t>
      </w:r>
      <w:r w:rsidRPr="00BE2169">
        <w:rPr>
          <w:rFonts w:ascii="Times New Roman" w:hAnsi="Times New Roman" w:cs="Times New Roman"/>
          <w:i/>
          <w:iCs/>
          <w:sz w:val="22"/>
          <w:szCs w:val="22"/>
        </w:rPr>
        <w:t>International Law</w:t>
      </w:r>
      <w:r w:rsidRPr="00BE2169">
        <w:rPr>
          <w:rFonts w:ascii="Times New Roman" w:hAnsi="Times New Roman" w:cs="Times New Roman"/>
          <w:sz w:val="22"/>
          <w:szCs w:val="22"/>
        </w:rPr>
        <w:t xml:space="preserve">, 9th ed. (Cambridge: Cambridge University Press, 2021), </w:t>
      </w:r>
      <w:r w:rsidRPr="00BE2169">
        <w:rPr>
          <w:rFonts w:ascii="Times New Roman" w:hAnsi="Times New Roman" w:cs="Times New Roman"/>
          <w:sz w:val="22"/>
          <w:szCs w:val="22"/>
        </w:rPr>
        <w:t>hlm. 331–336.</w:t>
      </w:r>
    </w:p>
  </w:footnote>
  <w:footnote w:id="3">
    <w:p w14:paraId="242EA02B" w14:textId="38AE3053" w:rsidR="00455C43" w:rsidRPr="00BE2169" w:rsidRDefault="00455C43" w:rsidP="00065AF0">
      <w:pPr>
        <w:pStyle w:val="FootnoteText"/>
        <w:ind w:firstLine="567"/>
        <w:jc w:val="both"/>
        <w:rPr>
          <w:sz w:val="22"/>
          <w:szCs w:val="22"/>
          <w:lang w:val="en-GB"/>
        </w:rPr>
      </w:pPr>
      <w:r w:rsidRPr="00BE2169">
        <w:rPr>
          <w:rStyle w:val="FootnoteReference"/>
          <w:sz w:val="22"/>
          <w:szCs w:val="22"/>
        </w:rPr>
        <w:footnoteRef/>
      </w:r>
      <w:r w:rsidRPr="00BE2169">
        <w:rPr>
          <w:sz w:val="22"/>
          <w:szCs w:val="22"/>
        </w:rPr>
        <w:t xml:space="preserve"> </w:t>
      </w:r>
      <w:r w:rsidRPr="00BE2169">
        <w:rPr>
          <w:rFonts w:ascii="Times New Roman" w:hAnsi="Times New Roman" w:cs="Times New Roman"/>
          <w:sz w:val="22"/>
          <w:szCs w:val="22"/>
        </w:rPr>
        <w:t xml:space="preserve">J.G. Starke, </w:t>
      </w:r>
      <w:r w:rsidRPr="00BE2169">
        <w:rPr>
          <w:rFonts w:ascii="Times New Roman" w:hAnsi="Times New Roman" w:cs="Times New Roman"/>
          <w:i/>
          <w:iCs/>
          <w:sz w:val="22"/>
          <w:szCs w:val="22"/>
        </w:rPr>
        <w:t>Introduction to International Law</w:t>
      </w:r>
      <w:r w:rsidRPr="00BE2169">
        <w:rPr>
          <w:rFonts w:ascii="Times New Roman" w:hAnsi="Times New Roman" w:cs="Times New Roman"/>
          <w:sz w:val="22"/>
          <w:szCs w:val="22"/>
        </w:rPr>
        <w:t xml:space="preserve">, Tenth Edition, translated by Bambang Iriana </w:t>
      </w:r>
      <w:r w:rsidRPr="00BE2169">
        <w:rPr>
          <w:rFonts w:ascii="Times New Roman" w:hAnsi="Times New Roman" w:cs="Times New Roman"/>
          <w:sz w:val="22"/>
          <w:szCs w:val="22"/>
        </w:rPr>
        <w:t>Djajaatmadja (Jakarta: Sinar Grafika, 2018), p. 213.</w:t>
      </w:r>
    </w:p>
  </w:footnote>
  <w:footnote w:id="4">
    <w:p w14:paraId="0D635C97" w14:textId="0B6704EF" w:rsidR="00455C43" w:rsidRPr="00BE2169" w:rsidRDefault="00455C43" w:rsidP="00065AF0">
      <w:pPr>
        <w:pStyle w:val="FootnoteText"/>
        <w:ind w:firstLine="567"/>
        <w:jc w:val="both"/>
        <w:rPr>
          <w:sz w:val="22"/>
          <w:szCs w:val="22"/>
          <w:lang w:val="en-GB"/>
        </w:rPr>
      </w:pPr>
      <w:r w:rsidRPr="00BE2169">
        <w:rPr>
          <w:rStyle w:val="FootnoteReference"/>
          <w:sz w:val="22"/>
          <w:szCs w:val="22"/>
        </w:rPr>
        <w:footnoteRef/>
      </w:r>
      <w:r w:rsidRPr="00BE2169">
        <w:rPr>
          <w:sz w:val="22"/>
          <w:szCs w:val="22"/>
        </w:rPr>
        <w:t xml:space="preserve"> </w:t>
      </w:r>
      <w:r w:rsidRPr="00BE2169">
        <w:rPr>
          <w:rFonts w:ascii="Times New Roman" w:hAnsi="Times New Roman" w:cs="Times New Roman"/>
          <w:sz w:val="22"/>
          <w:szCs w:val="22"/>
        </w:rPr>
        <w:t xml:space="preserve">Boer Mauna, </w:t>
      </w:r>
      <w:r w:rsidRPr="00BE2169">
        <w:rPr>
          <w:rFonts w:ascii="Times New Roman" w:hAnsi="Times New Roman" w:cs="Times New Roman"/>
          <w:i/>
          <w:iCs/>
          <w:sz w:val="22"/>
          <w:szCs w:val="22"/>
        </w:rPr>
        <w:t>International Law: Meaning, Role and Function in the Era of Global Dynamics</w:t>
      </w:r>
      <w:r w:rsidRPr="00BE2169">
        <w:rPr>
          <w:rFonts w:ascii="Times New Roman" w:hAnsi="Times New Roman" w:cs="Times New Roman"/>
          <w:sz w:val="22"/>
          <w:szCs w:val="22"/>
        </w:rPr>
        <w:t>, Second Edition (Bandung: Alumni, 2015), pp. 288–290.</w:t>
      </w:r>
    </w:p>
  </w:footnote>
  <w:footnote w:id="5">
    <w:p w14:paraId="5DF3C54C" w14:textId="30C3B2E4" w:rsidR="00455C43" w:rsidRPr="00BE2169" w:rsidRDefault="00455C43" w:rsidP="00065AF0">
      <w:pPr>
        <w:pStyle w:val="FootnoteText"/>
        <w:ind w:firstLine="567"/>
        <w:jc w:val="both"/>
        <w:rPr>
          <w:sz w:val="22"/>
          <w:szCs w:val="22"/>
          <w:lang w:val="en-GB"/>
        </w:rPr>
      </w:pPr>
      <w:r w:rsidRPr="00BE2169">
        <w:rPr>
          <w:rStyle w:val="FootnoteReference"/>
          <w:sz w:val="22"/>
          <w:szCs w:val="22"/>
        </w:rPr>
        <w:footnoteRef/>
      </w:r>
      <w:r w:rsidRPr="00BE2169">
        <w:rPr>
          <w:sz w:val="22"/>
          <w:szCs w:val="22"/>
        </w:rPr>
        <w:t xml:space="preserve"> </w:t>
      </w:r>
      <w:r w:rsidRPr="00BE2169">
        <w:rPr>
          <w:rFonts w:ascii="Times New Roman" w:hAnsi="Times New Roman" w:cs="Times New Roman"/>
          <w:sz w:val="22"/>
          <w:szCs w:val="22"/>
        </w:rPr>
        <w:t xml:space="preserve">Malcolm N. Shaw, </w:t>
      </w:r>
      <w:r w:rsidRPr="00BE2169">
        <w:rPr>
          <w:rFonts w:ascii="Times New Roman" w:hAnsi="Times New Roman" w:cs="Times New Roman"/>
          <w:i/>
          <w:iCs/>
          <w:sz w:val="22"/>
          <w:szCs w:val="22"/>
        </w:rPr>
        <w:t>International Law</w:t>
      </w:r>
      <w:r w:rsidRPr="00BE2169">
        <w:rPr>
          <w:rFonts w:ascii="Times New Roman" w:hAnsi="Times New Roman" w:cs="Times New Roman"/>
          <w:sz w:val="22"/>
          <w:szCs w:val="22"/>
        </w:rPr>
        <w:t>, hlm. 489–495.</w:t>
      </w:r>
    </w:p>
  </w:footnote>
  <w:footnote w:id="6">
    <w:p w14:paraId="728B4359" w14:textId="51179361" w:rsidR="00455C43" w:rsidRPr="00BE2169" w:rsidRDefault="00455C43" w:rsidP="00065AF0">
      <w:pPr>
        <w:pStyle w:val="FootnoteText"/>
        <w:ind w:firstLine="567"/>
        <w:jc w:val="both"/>
        <w:rPr>
          <w:sz w:val="22"/>
          <w:szCs w:val="22"/>
          <w:lang w:val="en-GB"/>
        </w:rPr>
      </w:pPr>
      <w:r w:rsidRPr="00BE2169">
        <w:rPr>
          <w:rStyle w:val="FootnoteReference"/>
          <w:sz w:val="22"/>
          <w:szCs w:val="22"/>
        </w:rPr>
        <w:footnoteRef/>
      </w:r>
      <w:r w:rsidRPr="00BE2169">
        <w:rPr>
          <w:sz w:val="22"/>
          <w:szCs w:val="22"/>
        </w:rPr>
        <w:t xml:space="preserve"> </w:t>
      </w:r>
      <w:r w:rsidRPr="00BE2169">
        <w:rPr>
          <w:rFonts w:ascii="Times New Roman" w:hAnsi="Times New Roman" w:cs="Times New Roman"/>
          <w:sz w:val="22"/>
          <w:szCs w:val="22"/>
        </w:rPr>
        <w:t xml:space="preserve">R.R. Churchill, A.V. Lowe, and A.G. Oude Elferink, </w:t>
      </w:r>
      <w:r w:rsidRPr="00BE2169">
        <w:rPr>
          <w:rFonts w:ascii="Times New Roman" w:hAnsi="Times New Roman" w:cs="Times New Roman"/>
          <w:i/>
          <w:iCs/>
          <w:sz w:val="22"/>
          <w:szCs w:val="22"/>
        </w:rPr>
        <w:t>The Law of the Sea</w:t>
      </w:r>
      <w:r w:rsidRPr="00BE2169">
        <w:rPr>
          <w:rFonts w:ascii="Times New Roman" w:hAnsi="Times New Roman" w:cs="Times New Roman"/>
          <w:sz w:val="22"/>
          <w:szCs w:val="22"/>
        </w:rPr>
        <w:t>, 4th ed. (Manchester: Manchester University Press, 2022), hlm. 167–174.</w:t>
      </w:r>
    </w:p>
  </w:footnote>
  <w:footnote w:id="7">
    <w:p w14:paraId="47E7A395" w14:textId="6538B775" w:rsidR="00455C43" w:rsidRPr="00BE2169" w:rsidRDefault="00455C43" w:rsidP="00065AF0">
      <w:pPr>
        <w:pStyle w:val="FootnoteText"/>
        <w:ind w:firstLine="567"/>
        <w:jc w:val="both"/>
        <w:rPr>
          <w:sz w:val="22"/>
          <w:szCs w:val="22"/>
          <w:lang w:val="en-GB"/>
        </w:rPr>
      </w:pPr>
      <w:r w:rsidRPr="00BE2169">
        <w:rPr>
          <w:rStyle w:val="FootnoteReference"/>
          <w:sz w:val="22"/>
          <w:szCs w:val="22"/>
        </w:rPr>
        <w:footnoteRef/>
      </w:r>
      <w:r w:rsidRPr="00BE2169">
        <w:rPr>
          <w:sz w:val="22"/>
          <w:szCs w:val="22"/>
        </w:rPr>
        <w:t xml:space="preserve"> </w:t>
      </w:r>
      <w:r w:rsidRPr="00BE2169">
        <w:rPr>
          <w:rFonts w:ascii="Times New Roman" w:hAnsi="Times New Roman" w:cs="Times New Roman"/>
          <w:sz w:val="22"/>
          <w:szCs w:val="22"/>
        </w:rPr>
        <w:t xml:space="preserve">Boer Mauna, </w:t>
      </w:r>
      <w:r w:rsidRPr="00BE2169">
        <w:rPr>
          <w:rFonts w:ascii="Times New Roman" w:hAnsi="Times New Roman" w:cs="Times New Roman"/>
          <w:i/>
          <w:iCs/>
          <w:sz w:val="22"/>
          <w:szCs w:val="22"/>
        </w:rPr>
        <w:t>International Law</w:t>
      </w:r>
      <w:r w:rsidRPr="00BE2169">
        <w:rPr>
          <w:rFonts w:ascii="Times New Roman" w:hAnsi="Times New Roman" w:cs="Times New Roman"/>
          <w:sz w:val="22"/>
          <w:szCs w:val="22"/>
        </w:rPr>
        <w:t>, pp. 295–299.</w:t>
      </w:r>
    </w:p>
  </w:footnote>
  <w:footnote w:id="8">
    <w:p w14:paraId="430E1FB6" w14:textId="32474C8C" w:rsidR="00455C43" w:rsidRPr="00BE2169" w:rsidRDefault="00455C43" w:rsidP="00065AF0">
      <w:pPr>
        <w:pStyle w:val="FootnoteText"/>
        <w:ind w:firstLine="567"/>
        <w:jc w:val="both"/>
        <w:rPr>
          <w:sz w:val="22"/>
          <w:szCs w:val="22"/>
          <w:lang w:val="en-GB"/>
        </w:rPr>
      </w:pPr>
      <w:r w:rsidRPr="00BE2169">
        <w:rPr>
          <w:rStyle w:val="FootnoteReference"/>
          <w:sz w:val="22"/>
          <w:szCs w:val="22"/>
        </w:rPr>
        <w:footnoteRef/>
      </w:r>
      <w:r w:rsidRPr="00BE2169">
        <w:rPr>
          <w:sz w:val="22"/>
          <w:szCs w:val="22"/>
        </w:rPr>
        <w:t xml:space="preserve"> </w:t>
      </w:r>
      <w:r w:rsidRPr="00BE2169">
        <w:rPr>
          <w:rFonts w:ascii="Times New Roman" w:hAnsi="Times New Roman" w:cs="Times New Roman"/>
          <w:sz w:val="22"/>
          <w:szCs w:val="22"/>
        </w:rPr>
        <w:t xml:space="preserve">James Crawford, </w:t>
      </w:r>
      <w:r w:rsidRPr="00BE2169">
        <w:rPr>
          <w:rFonts w:ascii="Times New Roman" w:hAnsi="Times New Roman" w:cs="Times New Roman"/>
          <w:i/>
          <w:iCs/>
          <w:sz w:val="22"/>
          <w:szCs w:val="22"/>
        </w:rPr>
        <w:t>Brownlie's Principles of Public International Law</w:t>
      </w:r>
      <w:r w:rsidRPr="00BE2169">
        <w:rPr>
          <w:rFonts w:ascii="Times New Roman" w:hAnsi="Times New Roman" w:cs="Times New Roman"/>
          <w:sz w:val="22"/>
          <w:szCs w:val="22"/>
        </w:rPr>
        <w:t>, 9th ed. (Oxford: Oxford University Press, 2019), hlm. 222–228.</w:t>
      </w:r>
    </w:p>
  </w:footnote>
  <w:footnote w:id="9">
    <w:p w14:paraId="662B0A02" w14:textId="2ABD1951" w:rsidR="00455C43" w:rsidRPr="00BE2169" w:rsidRDefault="00455C43" w:rsidP="00065AF0">
      <w:pPr>
        <w:pStyle w:val="FootnoteText"/>
        <w:ind w:firstLine="567"/>
        <w:jc w:val="both"/>
        <w:rPr>
          <w:sz w:val="22"/>
          <w:szCs w:val="22"/>
          <w:lang w:val="en-GB"/>
        </w:rPr>
      </w:pPr>
      <w:r w:rsidRPr="00BE2169">
        <w:rPr>
          <w:rStyle w:val="FootnoteReference"/>
          <w:sz w:val="22"/>
          <w:szCs w:val="22"/>
        </w:rPr>
        <w:footnoteRef/>
      </w:r>
      <w:r w:rsidRPr="00BE2169">
        <w:rPr>
          <w:sz w:val="22"/>
          <w:szCs w:val="22"/>
        </w:rPr>
        <w:t xml:space="preserve"> </w:t>
      </w:r>
      <w:r w:rsidRPr="00BE2169">
        <w:rPr>
          <w:rFonts w:ascii="Times New Roman" w:hAnsi="Times New Roman" w:cs="Times New Roman"/>
          <w:sz w:val="22"/>
          <w:szCs w:val="22"/>
        </w:rPr>
        <w:t xml:space="preserve">I Made Andi </w:t>
      </w:r>
      <w:r w:rsidRPr="00BE2169">
        <w:rPr>
          <w:rFonts w:ascii="Times New Roman" w:hAnsi="Times New Roman" w:cs="Times New Roman"/>
          <w:sz w:val="22"/>
          <w:szCs w:val="22"/>
        </w:rPr>
        <w:t xml:space="preserve">Arsana, </w:t>
      </w:r>
      <w:r w:rsidRPr="00BE2169">
        <w:rPr>
          <w:rFonts w:ascii="Times New Roman" w:hAnsi="Times New Roman" w:cs="Times New Roman"/>
          <w:i/>
          <w:iCs/>
          <w:sz w:val="22"/>
          <w:szCs w:val="22"/>
        </w:rPr>
        <w:t>Maritime Boundaries Between Countries: A Technical and Juridical Review</w:t>
      </w:r>
      <w:r w:rsidRPr="00BE2169">
        <w:rPr>
          <w:rFonts w:ascii="Times New Roman" w:hAnsi="Times New Roman" w:cs="Times New Roman"/>
          <w:sz w:val="22"/>
          <w:szCs w:val="22"/>
        </w:rPr>
        <w:t xml:space="preserve"> (Yogyakarta: Gadjah Mada University Press, 2018), pp. 95–103.</w:t>
      </w:r>
    </w:p>
  </w:footnote>
  <w:footnote w:id="10">
    <w:p w14:paraId="494988F7" w14:textId="315D65CB" w:rsidR="00455C43" w:rsidRPr="00455C43" w:rsidRDefault="00455C43" w:rsidP="00065AF0">
      <w:pPr>
        <w:pStyle w:val="FootnoteText"/>
        <w:ind w:firstLine="567"/>
        <w:jc w:val="both"/>
        <w:rPr>
          <w:lang w:val="en-GB"/>
        </w:rPr>
      </w:pPr>
      <w:r w:rsidRPr="00BE2169">
        <w:rPr>
          <w:rStyle w:val="FootnoteReference"/>
          <w:sz w:val="22"/>
          <w:szCs w:val="22"/>
        </w:rPr>
        <w:footnoteRef/>
      </w:r>
      <w:r w:rsidRPr="00BE2169">
        <w:rPr>
          <w:sz w:val="22"/>
          <w:szCs w:val="22"/>
        </w:rPr>
        <w:t xml:space="preserve"> </w:t>
      </w:r>
      <w:r w:rsidRPr="00BE2169">
        <w:rPr>
          <w:rFonts w:ascii="Times New Roman" w:hAnsi="Times New Roman" w:cs="Times New Roman"/>
          <w:sz w:val="22"/>
          <w:szCs w:val="22"/>
        </w:rPr>
        <w:t>United Nations Convention on the Law of the Sea, 1982, and the 1945 United Nations Charter, Chapter VI on the Peaceful Settlement of Disputes.</w:t>
      </w:r>
    </w:p>
  </w:footnote>
  <w:footnote w:id="11">
    <w:p w14:paraId="201C4DC4" w14:textId="77777777" w:rsidR="00BE2169" w:rsidRPr="00BE2169" w:rsidRDefault="00BE2169" w:rsidP="00065AF0">
      <w:pPr>
        <w:spacing w:line="240" w:lineRule="auto"/>
        <w:ind w:firstLine="567"/>
        <w:jc w:val="both"/>
        <w:rPr>
          <w:rFonts w:ascii="Times New Roman" w:hAnsi="Times New Roman" w:cs="Times New Roman"/>
        </w:rPr>
      </w:pPr>
      <w:r w:rsidRPr="00BE2169">
        <w:rPr>
          <w:rStyle w:val="FootnoteReference"/>
          <w:rFonts w:ascii="Times New Roman" w:hAnsi="Times New Roman" w:cs="Times New Roman"/>
        </w:rPr>
        <w:footnoteRef/>
      </w:r>
      <w:r w:rsidRPr="00BE2169">
        <w:rPr>
          <w:rFonts w:ascii="Times New Roman" w:hAnsi="Times New Roman" w:cs="Times New Roman"/>
        </w:rPr>
        <w:t xml:space="preserve"> Malcolm N. Shaw, </w:t>
      </w:r>
      <w:r w:rsidRPr="00BE2169">
        <w:rPr>
          <w:rFonts w:ascii="Times New Roman" w:hAnsi="Times New Roman" w:cs="Times New Roman"/>
          <w:i/>
          <w:iCs/>
        </w:rPr>
        <w:t>International Law</w:t>
      </w:r>
      <w:r w:rsidRPr="00BE2169">
        <w:rPr>
          <w:rFonts w:ascii="Times New Roman" w:hAnsi="Times New Roman" w:cs="Times New Roman"/>
        </w:rPr>
        <w:t>, 8th ed. (Cambridge: Cambridge University Press, 2017), hlm. 362.</w:t>
      </w:r>
    </w:p>
  </w:footnote>
  <w:footnote w:id="12">
    <w:p w14:paraId="78E01B43" w14:textId="77777777" w:rsidR="00BE2169" w:rsidRPr="00BE2169" w:rsidRDefault="00BE2169" w:rsidP="00065AF0">
      <w:pPr>
        <w:spacing w:line="240" w:lineRule="auto"/>
        <w:ind w:firstLine="567"/>
        <w:jc w:val="both"/>
        <w:rPr>
          <w:rFonts w:ascii="Times New Roman" w:hAnsi="Times New Roman" w:cs="Times New Roman"/>
        </w:rPr>
      </w:pPr>
      <w:r w:rsidRPr="00BE2169">
        <w:rPr>
          <w:rStyle w:val="FootnoteReference"/>
          <w:rFonts w:ascii="Times New Roman" w:hAnsi="Times New Roman" w:cs="Times New Roman"/>
        </w:rPr>
        <w:footnoteRef/>
      </w:r>
      <w:r w:rsidRPr="00BE2169">
        <w:rPr>
          <w:rFonts w:ascii="Times New Roman" w:hAnsi="Times New Roman" w:cs="Times New Roman"/>
        </w:rPr>
        <w:t xml:space="preserve"> J.G. Starke, </w:t>
      </w:r>
      <w:r w:rsidRPr="00BE2169">
        <w:rPr>
          <w:rFonts w:ascii="Times New Roman" w:hAnsi="Times New Roman" w:cs="Times New Roman"/>
          <w:i/>
          <w:iCs/>
        </w:rPr>
        <w:t>Introduction to International Law</w:t>
      </w:r>
      <w:r w:rsidRPr="00BE2169">
        <w:rPr>
          <w:rFonts w:ascii="Times New Roman" w:hAnsi="Times New Roman" w:cs="Times New Roman"/>
        </w:rPr>
        <w:t xml:space="preserve">, Tenth Edition (Jakarta: Sinar </w:t>
      </w:r>
      <w:r w:rsidRPr="00BE2169">
        <w:rPr>
          <w:rFonts w:ascii="Times New Roman" w:hAnsi="Times New Roman" w:cs="Times New Roman"/>
        </w:rPr>
        <w:t>Grafika, 2010), p. 188.</w:t>
      </w:r>
    </w:p>
  </w:footnote>
  <w:footnote w:id="13">
    <w:p w14:paraId="4882C8FC" w14:textId="77777777" w:rsidR="00BE2169" w:rsidRPr="00BE2169" w:rsidRDefault="00BE2169" w:rsidP="00065AF0">
      <w:pPr>
        <w:spacing w:line="240" w:lineRule="auto"/>
        <w:ind w:firstLine="567"/>
        <w:jc w:val="both"/>
        <w:rPr>
          <w:rFonts w:ascii="Times New Roman" w:hAnsi="Times New Roman" w:cs="Times New Roman"/>
        </w:rPr>
      </w:pPr>
      <w:r w:rsidRPr="00BE2169">
        <w:rPr>
          <w:rStyle w:val="FootnoteReference"/>
          <w:rFonts w:ascii="Times New Roman" w:hAnsi="Times New Roman" w:cs="Times New Roman"/>
        </w:rPr>
        <w:footnoteRef/>
      </w:r>
      <w:r w:rsidRPr="00BE2169">
        <w:rPr>
          <w:rFonts w:ascii="Times New Roman" w:hAnsi="Times New Roman" w:cs="Times New Roman"/>
        </w:rPr>
        <w:t xml:space="preserve"> Boer Mauna, </w:t>
      </w:r>
      <w:r w:rsidRPr="00BE2169">
        <w:rPr>
          <w:rFonts w:ascii="Times New Roman" w:hAnsi="Times New Roman" w:cs="Times New Roman"/>
          <w:i/>
          <w:iCs/>
        </w:rPr>
        <w:t>International Law: Definition, Role and Function in the Era of Global Dynamics</w:t>
      </w:r>
      <w:r w:rsidRPr="00BE2169">
        <w:rPr>
          <w:rFonts w:ascii="Times New Roman" w:hAnsi="Times New Roman" w:cs="Times New Roman"/>
        </w:rPr>
        <w:t xml:space="preserve"> (Bandung: Alumni, 2015), p. 302.</w:t>
      </w:r>
    </w:p>
  </w:footnote>
  <w:footnote w:id="14">
    <w:p w14:paraId="5C6537E6" w14:textId="77777777" w:rsidR="00BE2169" w:rsidRPr="00BE2169" w:rsidRDefault="00BE2169" w:rsidP="00065AF0">
      <w:pPr>
        <w:spacing w:line="240" w:lineRule="auto"/>
        <w:ind w:firstLine="567"/>
        <w:jc w:val="both"/>
        <w:rPr>
          <w:rFonts w:ascii="Times New Roman" w:hAnsi="Times New Roman" w:cs="Times New Roman"/>
        </w:rPr>
      </w:pPr>
      <w:r w:rsidRPr="00BE2169">
        <w:rPr>
          <w:rStyle w:val="FootnoteReference"/>
          <w:rFonts w:ascii="Times New Roman" w:hAnsi="Times New Roman" w:cs="Times New Roman"/>
        </w:rPr>
        <w:footnoteRef/>
      </w:r>
      <w:r w:rsidRPr="00BE2169">
        <w:rPr>
          <w:rFonts w:ascii="Times New Roman" w:hAnsi="Times New Roman" w:cs="Times New Roman"/>
        </w:rPr>
        <w:t xml:space="preserve"> Charter of the United Nations 1945.</w:t>
      </w:r>
    </w:p>
  </w:footnote>
  <w:footnote w:id="15">
    <w:p w14:paraId="321E4FEB" w14:textId="77777777" w:rsidR="00BE2169" w:rsidRPr="00BE2169" w:rsidRDefault="00BE2169" w:rsidP="00065AF0">
      <w:pPr>
        <w:spacing w:line="240" w:lineRule="auto"/>
        <w:ind w:firstLine="567"/>
        <w:jc w:val="both"/>
        <w:rPr>
          <w:rFonts w:ascii="Times New Roman" w:hAnsi="Times New Roman" w:cs="Times New Roman"/>
        </w:rPr>
      </w:pPr>
      <w:r w:rsidRPr="00BE2169">
        <w:rPr>
          <w:rStyle w:val="FootnoteReference"/>
          <w:rFonts w:ascii="Times New Roman" w:hAnsi="Times New Roman" w:cs="Times New Roman"/>
        </w:rPr>
        <w:footnoteRef/>
      </w:r>
      <w:r w:rsidRPr="00BE2169">
        <w:rPr>
          <w:rFonts w:ascii="Times New Roman" w:hAnsi="Times New Roman" w:cs="Times New Roman"/>
        </w:rPr>
        <w:t xml:space="preserve"> Charter of the United Nations 1945, Article 2(4).</w:t>
      </w:r>
    </w:p>
  </w:footnote>
  <w:footnote w:id="16">
    <w:p w14:paraId="4FECAA49" w14:textId="77777777" w:rsidR="00BE2169" w:rsidRPr="00BE2169" w:rsidRDefault="00BE2169" w:rsidP="00065AF0">
      <w:pPr>
        <w:spacing w:line="240" w:lineRule="auto"/>
        <w:ind w:firstLine="567"/>
        <w:jc w:val="both"/>
        <w:rPr>
          <w:rFonts w:ascii="Times New Roman" w:hAnsi="Times New Roman" w:cs="Times New Roman"/>
        </w:rPr>
      </w:pPr>
      <w:r w:rsidRPr="00BE2169">
        <w:rPr>
          <w:rStyle w:val="FootnoteReference"/>
          <w:rFonts w:ascii="Times New Roman" w:hAnsi="Times New Roman" w:cs="Times New Roman"/>
        </w:rPr>
        <w:footnoteRef/>
      </w:r>
      <w:r w:rsidRPr="00BE2169">
        <w:rPr>
          <w:rFonts w:ascii="Times New Roman" w:hAnsi="Times New Roman" w:cs="Times New Roman"/>
        </w:rPr>
        <w:t xml:space="preserve"> Malcolm N. Shaw, </w:t>
      </w:r>
      <w:r w:rsidRPr="00BE2169">
        <w:rPr>
          <w:rFonts w:ascii="Times New Roman" w:hAnsi="Times New Roman" w:cs="Times New Roman"/>
          <w:i/>
          <w:iCs/>
        </w:rPr>
        <w:t>International Law</w:t>
      </w:r>
      <w:r w:rsidRPr="00BE2169">
        <w:rPr>
          <w:rFonts w:ascii="Times New Roman" w:hAnsi="Times New Roman" w:cs="Times New Roman"/>
        </w:rPr>
        <w:t>, hlm. 845.</w:t>
      </w:r>
    </w:p>
    <w:p w14:paraId="454D8A09" w14:textId="77777777" w:rsidR="00BE2169" w:rsidRPr="00BE2169" w:rsidRDefault="00BE2169" w:rsidP="00065AF0">
      <w:pPr>
        <w:pStyle w:val="FootnoteText"/>
        <w:ind w:firstLine="567"/>
        <w:jc w:val="both"/>
        <w:rPr>
          <w:sz w:val="22"/>
          <w:szCs w:val="22"/>
          <w:lang w:val="en-US"/>
        </w:rPr>
      </w:pPr>
    </w:p>
  </w:footnote>
  <w:footnote w:id="17">
    <w:p w14:paraId="4AB55B1A" w14:textId="77777777" w:rsidR="00BE2169" w:rsidRPr="00BE2169" w:rsidRDefault="00BE2169" w:rsidP="00065AF0">
      <w:pPr>
        <w:spacing w:line="240" w:lineRule="auto"/>
        <w:ind w:firstLine="567"/>
        <w:jc w:val="both"/>
        <w:rPr>
          <w:rFonts w:ascii="Times New Roman" w:hAnsi="Times New Roman" w:cs="Times New Roman"/>
        </w:rPr>
      </w:pPr>
      <w:r w:rsidRPr="00BE2169">
        <w:rPr>
          <w:rStyle w:val="FootnoteReference"/>
          <w:rFonts w:ascii="Times New Roman" w:hAnsi="Times New Roman" w:cs="Times New Roman"/>
        </w:rPr>
        <w:footnoteRef/>
      </w:r>
      <w:r w:rsidRPr="00BE2169">
        <w:rPr>
          <w:rFonts w:ascii="Times New Roman" w:hAnsi="Times New Roman" w:cs="Times New Roman"/>
        </w:rPr>
        <w:t xml:space="preserve"> Charter of the United Nations 1945, Article 2(3).</w:t>
      </w:r>
    </w:p>
  </w:footnote>
  <w:footnote w:id="18">
    <w:p w14:paraId="2A74DA80" w14:textId="77777777" w:rsidR="00BE2169" w:rsidRPr="00BE2169" w:rsidRDefault="00BE2169" w:rsidP="00065AF0">
      <w:pPr>
        <w:spacing w:line="240" w:lineRule="auto"/>
        <w:ind w:firstLine="567"/>
        <w:jc w:val="both"/>
        <w:rPr>
          <w:rFonts w:ascii="Times New Roman" w:hAnsi="Times New Roman" w:cs="Times New Roman"/>
          <w:lang w:val="en-US"/>
        </w:rPr>
      </w:pPr>
      <w:r w:rsidRPr="00BE2169">
        <w:rPr>
          <w:rStyle w:val="FootnoteReference"/>
          <w:rFonts w:ascii="Times New Roman" w:hAnsi="Times New Roman" w:cs="Times New Roman"/>
        </w:rPr>
        <w:footnoteRef/>
      </w:r>
      <w:r w:rsidRPr="00BE2169">
        <w:rPr>
          <w:rFonts w:ascii="Times New Roman" w:hAnsi="Times New Roman" w:cs="Times New Roman"/>
        </w:rPr>
        <w:t xml:space="preserve"> Statute of the International Court of Justice, Article 38(1)(b).</w:t>
      </w:r>
    </w:p>
  </w:footnote>
  <w:footnote w:id="19">
    <w:p w14:paraId="5FEF231C" w14:textId="77777777" w:rsidR="00BE2169" w:rsidRPr="00BE2169" w:rsidRDefault="00BE2169" w:rsidP="00065AF0">
      <w:pPr>
        <w:spacing w:line="240" w:lineRule="auto"/>
        <w:ind w:firstLine="567"/>
        <w:jc w:val="both"/>
        <w:rPr>
          <w:rFonts w:ascii="Times New Roman" w:hAnsi="Times New Roman" w:cs="Times New Roman"/>
        </w:rPr>
      </w:pPr>
      <w:r w:rsidRPr="00BE2169">
        <w:rPr>
          <w:rStyle w:val="FootnoteReference"/>
          <w:rFonts w:ascii="Times New Roman" w:hAnsi="Times New Roman" w:cs="Times New Roman"/>
        </w:rPr>
        <w:footnoteRef/>
      </w:r>
      <w:r w:rsidRPr="00BE2169">
        <w:rPr>
          <w:rFonts w:ascii="Times New Roman" w:hAnsi="Times New Roman" w:cs="Times New Roman"/>
        </w:rPr>
        <w:t xml:space="preserve"> Ian Brownlie, </w:t>
      </w:r>
      <w:r w:rsidRPr="00BE2169">
        <w:rPr>
          <w:rFonts w:ascii="Times New Roman" w:hAnsi="Times New Roman" w:cs="Times New Roman"/>
          <w:i/>
          <w:iCs/>
        </w:rPr>
        <w:t>Principles of Public International Law</w:t>
      </w:r>
      <w:r w:rsidRPr="00BE2169">
        <w:rPr>
          <w:rFonts w:ascii="Times New Roman" w:hAnsi="Times New Roman" w:cs="Times New Roman"/>
        </w:rPr>
        <w:t>, 8th ed. (Oxford: Oxford University Press, 2012), hlm. 24.</w:t>
      </w:r>
    </w:p>
  </w:footnote>
  <w:footnote w:id="20">
    <w:p w14:paraId="7422D55E" w14:textId="77777777" w:rsidR="00BE2169" w:rsidRPr="00BE2169" w:rsidRDefault="00BE2169" w:rsidP="00065AF0">
      <w:pPr>
        <w:spacing w:line="240" w:lineRule="auto"/>
        <w:ind w:firstLine="567"/>
        <w:jc w:val="both"/>
        <w:rPr>
          <w:rFonts w:ascii="Times New Roman" w:hAnsi="Times New Roman" w:cs="Times New Roman"/>
        </w:rPr>
      </w:pPr>
      <w:r w:rsidRPr="00BE2169">
        <w:rPr>
          <w:rStyle w:val="FootnoteReference"/>
          <w:rFonts w:ascii="Times New Roman" w:hAnsi="Times New Roman" w:cs="Times New Roman"/>
        </w:rPr>
        <w:footnoteRef/>
      </w:r>
      <w:r w:rsidRPr="00BE2169">
        <w:rPr>
          <w:rFonts w:ascii="Times New Roman" w:hAnsi="Times New Roman" w:cs="Times New Roman"/>
        </w:rPr>
        <w:t xml:space="preserve"> </w:t>
      </w:r>
      <w:r w:rsidRPr="00BE2169">
        <w:rPr>
          <w:rFonts w:ascii="Times New Roman" w:hAnsi="Times New Roman" w:cs="Times New Roman"/>
          <w:i/>
          <w:iCs/>
        </w:rPr>
        <w:t>Frontier Dispute (Burkina Faso v. Mali)</w:t>
      </w:r>
      <w:r w:rsidRPr="00BE2169">
        <w:rPr>
          <w:rFonts w:ascii="Times New Roman" w:hAnsi="Times New Roman" w:cs="Times New Roman"/>
        </w:rPr>
        <w:t>, ICJ Reports 1986.</w:t>
      </w:r>
    </w:p>
  </w:footnote>
  <w:footnote w:id="21">
    <w:p w14:paraId="77605C13" w14:textId="77777777" w:rsidR="00BE2169" w:rsidRPr="00BE2169" w:rsidRDefault="00BE2169" w:rsidP="00065AF0">
      <w:pPr>
        <w:spacing w:line="240" w:lineRule="auto"/>
        <w:ind w:firstLine="567"/>
        <w:jc w:val="both"/>
        <w:rPr>
          <w:rFonts w:ascii="Times New Roman" w:hAnsi="Times New Roman" w:cs="Times New Roman"/>
        </w:rPr>
      </w:pPr>
      <w:r w:rsidRPr="00BE2169">
        <w:rPr>
          <w:rStyle w:val="FootnoteReference"/>
          <w:rFonts w:ascii="Times New Roman" w:hAnsi="Times New Roman" w:cs="Times New Roman"/>
        </w:rPr>
        <w:footnoteRef/>
      </w:r>
      <w:r w:rsidRPr="00BE2169">
        <w:rPr>
          <w:rFonts w:ascii="Times New Roman" w:hAnsi="Times New Roman" w:cs="Times New Roman"/>
        </w:rPr>
        <w:t xml:space="preserve"> Malcolm N. Shaw, </w:t>
      </w:r>
      <w:r w:rsidRPr="00BE2169">
        <w:rPr>
          <w:rFonts w:ascii="Times New Roman" w:hAnsi="Times New Roman" w:cs="Times New Roman"/>
          <w:i/>
          <w:iCs/>
        </w:rPr>
        <w:t>International Law</w:t>
      </w:r>
      <w:r w:rsidRPr="00BE2169">
        <w:rPr>
          <w:rFonts w:ascii="Times New Roman" w:hAnsi="Times New Roman" w:cs="Times New Roman"/>
        </w:rPr>
        <w:t>, hlm. 72.</w:t>
      </w:r>
    </w:p>
  </w:footnote>
  <w:footnote w:id="22">
    <w:p w14:paraId="46B93884" w14:textId="77777777" w:rsidR="00BE2169" w:rsidRPr="00BE2169" w:rsidRDefault="00BE2169" w:rsidP="00065AF0">
      <w:pPr>
        <w:spacing w:line="240" w:lineRule="auto"/>
        <w:ind w:firstLine="567"/>
        <w:jc w:val="both"/>
        <w:rPr>
          <w:rFonts w:ascii="Times New Roman" w:hAnsi="Times New Roman" w:cs="Times New Roman"/>
        </w:rPr>
      </w:pPr>
      <w:r w:rsidRPr="00BE2169">
        <w:rPr>
          <w:rStyle w:val="FootnoteReference"/>
          <w:rFonts w:ascii="Times New Roman" w:hAnsi="Times New Roman" w:cs="Times New Roman"/>
        </w:rPr>
        <w:footnoteRef/>
      </w:r>
      <w:r w:rsidRPr="00BE2169">
        <w:rPr>
          <w:rFonts w:ascii="Times New Roman" w:hAnsi="Times New Roman" w:cs="Times New Roman"/>
        </w:rPr>
        <w:t xml:space="preserve"> Vienna Convention on the Law of Treaties 1969.</w:t>
      </w:r>
    </w:p>
  </w:footnote>
  <w:footnote w:id="23">
    <w:p w14:paraId="4ABA0448" w14:textId="77777777" w:rsidR="00BE2169" w:rsidRPr="00BE2169" w:rsidRDefault="00BE2169" w:rsidP="00065AF0">
      <w:pPr>
        <w:spacing w:line="240" w:lineRule="auto"/>
        <w:ind w:firstLine="567"/>
        <w:jc w:val="both"/>
        <w:rPr>
          <w:rFonts w:ascii="Times New Roman" w:hAnsi="Times New Roman" w:cs="Times New Roman"/>
        </w:rPr>
      </w:pPr>
      <w:r w:rsidRPr="00BE2169">
        <w:rPr>
          <w:rStyle w:val="FootnoteReference"/>
          <w:rFonts w:ascii="Times New Roman" w:hAnsi="Times New Roman" w:cs="Times New Roman"/>
        </w:rPr>
        <w:footnoteRef/>
      </w:r>
      <w:r w:rsidRPr="00BE2169">
        <w:rPr>
          <w:rFonts w:ascii="Times New Roman" w:hAnsi="Times New Roman" w:cs="Times New Roman"/>
        </w:rPr>
        <w:t xml:space="preserve"> Vienna Convention on the Law of Treaties 1969, Article 26.</w:t>
      </w:r>
    </w:p>
  </w:footnote>
  <w:footnote w:id="24">
    <w:p w14:paraId="5D432050" w14:textId="77777777" w:rsidR="00BE2169" w:rsidRPr="00BE2169" w:rsidRDefault="00BE2169" w:rsidP="00065AF0">
      <w:pPr>
        <w:spacing w:line="240" w:lineRule="auto"/>
        <w:ind w:firstLine="567"/>
        <w:jc w:val="both"/>
        <w:rPr>
          <w:rFonts w:ascii="Times New Roman" w:hAnsi="Times New Roman" w:cs="Times New Roman"/>
          <w:lang w:val="en-US"/>
        </w:rPr>
      </w:pPr>
      <w:r w:rsidRPr="00BE2169">
        <w:rPr>
          <w:rStyle w:val="FootnoteReference"/>
          <w:rFonts w:ascii="Times New Roman" w:hAnsi="Times New Roman" w:cs="Times New Roman"/>
        </w:rPr>
        <w:footnoteRef/>
      </w:r>
      <w:r w:rsidRPr="00BE2169">
        <w:rPr>
          <w:rFonts w:ascii="Times New Roman" w:hAnsi="Times New Roman" w:cs="Times New Roman"/>
        </w:rPr>
        <w:t xml:space="preserve"> Boer Mauna, </w:t>
      </w:r>
      <w:r w:rsidRPr="00BE2169">
        <w:rPr>
          <w:rFonts w:ascii="Times New Roman" w:hAnsi="Times New Roman" w:cs="Times New Roman"/>
          <w:i/>
          <w:iCs/>
        </w:rPr>
        <w:t>International Law</w:t>
      </w:r>
      <w:r w:rsidRPr="00BE2169">
        <w:rPr>
          <w:rFonts w:ascii="Times New Roman" w:hAnsi="Times New Roman" w:cs="Times New Roman"/>
        </w:rPr>
        <w:t>, p. 324.</w:t>
      </w:r>
    </w:p>
  </w:footnote>
  <w:footnote w:id="25">
    <w:p w14:paraId="733B74F3" w14:textId="77777777" w:rsidR="00BE2169" w:rsidRPr="00BE2169" w:rsidRDefault="00BE2169" w:rsidP="00065AF0">
      <w:pPr>
        <w:spacing w:line="240" w:lineRule="auto"/>
        <w:ind w:firstLine="567"/>
        <w:jc w:val="both"/>
        <w:rPr>
          <w:rFonts w:ascii="Times New Roman" w:hAnsi="Times New Roman" w:cs="Times New Roman"/>
        </w:rPr>
      </w:pPr>
      <w:r w:rsidRPr="00BE2169">
        <w:rPr>
          <w:rStyle w:val="FootnoteReference"/>
          <w:rFonts w:ascii="Times New Roman" w:hAnsi="Times New Roman" w:cs="Times New Roman"/>
        </w:rPr>
        <w:footnoteRef/>
      </w:r>
      <w:r w:rsidRPr="00BE2169">
        <w:rPr>
          <w:rFonts w:ascii="Times New Roman" w:hAnsi="Times New Roman" w:cs="Times New Roman"/>
        </w:rPr>
        <w:t xml:space="preserve"> J.G. Starke, Introduction to International Law, p. 511.</w:t>
      </w:r>
    </w:p>
  </w:footnote>
  <w:footnote w:id="26">
    <w:p w14:paraId="4B0290F4" w14:textId="77777777" w:rsidR="00BE2169" w:rsidRPr="00BE2169" w:rsidRDefault="00BE2169" w:rsidP="00065AF0">
      <w:pPr>
        <w:spacing w:line="240" w:lineRule="auto"/>
        <w:ind w:firstLine="567"/>
        <w:jc w:val="both"/>
        <w:rPr>
          <w:rFonts w:ascii="Times New Roman" w:hAnsi="Times New Roman" w:cs="Times New Roman"/>
        </w:rPr>
      </w:pPr>
      <w:r w:rsidRPr="00BE2169">
        <w:rPr>
          <w:rStyle w:val="FootnoteReference"/>
          <w:rFonts w:ascii="Times New Roman" w:hAnsi="Times New Roman" w:cs="Times New Roman"/>
        </w:rPr>
        <w:footnoteRef/>
      </w:r>
      <w:r w:rsidRPr="00BE2169">
        <w:rPr>
          <w:rFonts w:ascii="Times New Roman" w:hAnsi="Times New Roman" w:cs="Times New Roman"/>
        </w:rPr>
        <w:t xml:space="preserve"> United Nations Convention on the Law of the Sea (UNCLOS) 1982.</w:t>
      </w:r>
    </w:p>
  </w:footnote>
  <w:footnote w:id="27">
    <w:p w14:paraId="3C7FB217" w14:textId="77777777" w:rsidR="00BE2169" w:rsidRPr="00BE2169" w:rsidRDefault="00BE2169" w:rsidP="00065AF0">
      <w:pPr>
        <w:spacing w:line="240" w:lineRule="auto"/>
        <w:ind w:firstLine="567"/>
        <w:jc w:val="both"/>
        <w:rPr>
          <w:rFonts w:ascii="Times New Roman" w:hAnsi="Times New Roman" w:cs="Times New Roman"/>
        </w:rPr>
      </w:pPr>
      <w:r w:rsidRPr="00BE2169">
        <w:rPr>
          <w:rStyle w:val="FootnoteReference"/>
          <w:rFonts w:ascii="Times New Roman" w:hAnsi="Times New Roman" w:cs="Times New Roman"/>
        </w:rPr>
        <w:footnoteRef/>
      </w:r>
      <w:r w:rsidRPr="00BE2169">
        <w:rPr>
          <w:rFonts w:ascii="Times New Roman" w:hAnsi="Times New Roman" w:cs="Times New Roman"/>
        </w:rPr>
        <w:t xml:space="preserve"> UNCLOS 1982, Parts II–VI.</w:t>
      </w:r>
    </w:p>
  </w:footnote>
  <w:footnote w:id="28">
    <w:p w14:paraId="09DFE0D8" w14:textId="77777777" w:rsidR="00BE2169" w:rsidRPr="00BE2169" w:rsidRDefault="00BE2169" w:rsidP="00065AF0">
      <w:pPr>
        <w:spacing w:line="240" w:lineRule="auto"/>
        <w:ind w:firstLine="567"/>
        <w:jc w:val="both"/>
        <w:rPr>
          <w:rFonts w:ascii="Times New Roman" w:hAnsi="Times New Roman" w:cs="Times New Roman"/>
          <w:lang w:val="en-US"/>
        </w:rPr>
      </w:pPr>
      <w:r w:rsidRPr="00BE2169">
        <w:rPr>
          <w:rStyle w:val="FootnoteReference"/>
          <w:rFonts w:ascii="Times New Roman" w:hAnsi="Times New Roman" w:cs="Times New Roman"/>
        </w:rPr>
        <w:footnoteRef/>
      </w:r>
      <w:r w:rsidRPr="00BE2169">
        <w:rPr>
          <w:rFonts w:ascii="Times New Roman" w:hAnsi="Times New Roman" w:cs="Times New Roman"/>
        </w:rPr>
        <w:t xml:space="preserve"> UNCLOS 1982, Article 3.</w:t>
      </w:r>
    </w:p>
  </w:footnote>
  <w:footnote w:id="29">
    <w:p w14:paraId="6CC172B1" w14:textId="77777777" w:rsidR="00BE2169" w:rsidRPr="00BE2169" w:rsidRDefault="00BE2169" w:rsidP="00065AF0">
      <w:pPr>
        <w:spacing w:line="240" w:lineRule="auto"/>
        <w:ind w:firstLine="567"/>
        <w:jc w:val="both"/>
        <w:rPr>
          <w:rFonts w:ascii="Times New Roman" w:hAnsi="Times New Roman" w:cs="Times New Roman"/>
        </w:rPr>
      </w:pPr>
      <w:r w:rsidRPr="00BE2169">
        <w:rPr>
          <w:rStyle w:val="FootnoteReference"/>
          <w:rFonts w:ascii="Times New Roman" w:hAnsi="Times New Roman" w:cs="Times New Roman"/>
        </w:rPr>
        <w:footnoteRef/>
      </w:r>
      <w:r w:rsidRPr="00BE2169">
        <w:rPr>
          <w:rFonts w:ascii="Times New Roman" w:hAnsi="Times New Roman" w:cs="Times New Roman"/>
        </w:rPr>
        <w:t xml:space="preserve"> UNCLOS 1982, Articles 56 dan 77.</w:t>
      </w:r>
    </w:p>
  </w:footnote>
  <w:footnote w:id="30">
    <w:p w14:paraId="5459E14B" w14:textId="77777777" w:rsidR="00BE2169" w:rsidRPr="00BE2169" w:rsidRDefault="00BE2169" w:rsidP="00065AF0">
      <w:pPr>
        <w:spacing w:line="240" w:lineRule="auto"/>
        <w:ind w:firstLine="567"/>
        <w:jc w:val="both"/>
        <w:rPr>
          <w:rFonts w:ascii="Times New Roman" w:hAnsi="Times New Roman" w:cs="Times New Roman"/>
        </w:rPr>
      </w:pPr>
      <w:r w:rsidRPr="00BE2169">
        <w:rPr>
          <w:rStyle w:val="FootnoteReference"/>
          <w:rFonts w:ascii="Times New Roman" w:hAnsi="Times New Roman" w:cs="Times New Roman"/>
        </w:rPr>
        <w:footnoteRef/>
      </w:r>
      <w:r w:rsidRPr="00BE2169">
        <w:rPr>
          <w:rFonts w:ascii="Times New Roman" w:hAnsi="Times New Roman" w:cs="Times New Roman"/>
        </w:rPr>
        <w:t xml:space="preserve"> UNCLOS 1982, Articles 74 dan 83.</w:t>
      </w:r>
    </w:p>
  </w:footnote>
  <w:footnote w:id="31">
    <w:p w14:paraId="1724D0CB" w14:textId="77777777" w:rsidR="00BE2169" w:rsidRPr="00BE2169" w:rsidRDefault="00BE2169" w:rsidP="00065AF0">
      <w:pPr>
        <w:spacing w:line="240" w:lineRule="auto"/>
        <w:ind w:firstLine="567"/>
        <w:jc w:val="both"/>
        <w:rPr>
          <w:rFonts w:ascii="Times New Roman" w:hAnsi="Times New Roman" w:cs="Times New Roman"/>
        </w:rPr>
      </w:pPr>
      <w:r w:rsidRPr="00BE2169">
        <w:rPr>
          <w:rStyle w:val="FootnoteReference"/>
          <w:rFonts w:ascii="Times New Roman" w:hAnsi="Times New Roman" w:cs="Times New Roman"/>
        </w:rPr>
        <w:footnoteRef/>
      </w:r>
      <w:r w:rsidRPr="00BE2169">
        <w:rPr>
          <w:rFonts w:ascii="Times New Roman" w:hAnsi="Times New Roman" w:cs="Times New Roman"/>
        </w:rPr>
        <w:t xml:space="preserve"> Malcolm N. Shaw, International Law, hlm. 365.</w:t>
      </w:r>
    </w:p>
  </w:footnote>
  <w:footnote w:id="32">
    <w:p w14:paraId="7A6AA75A" w14:textId="77777777" w:rsidR="00BE2169" w:rsidRPr="00BE2169" w:rsidRDefault="00BE2169" w:rsidP="00065AF0">
      <w:pPr>
        <w:spacing w:line="240" w:lineRule="auto"/>
        <w:ind w:firstLine="567"/>
        <w:jc w:val="both"/>
        <w:rPr>
          <w:rFonts w:ascii="Times New Roman" w:hAnsi="Times New Roman" w:cs="Times New Roman"/>
        </w:rPr>
      </w:pPr>
      <w:r w:rsidRPr="00BE2169">
        <w:rPr>
          <w:rStyle w:val="FootnoteReference"/>
          <w:rFonts w:ascii="Times New Roman" w:hAnsi="Times New Roman" w:cs="Times New Roman"/>
        </w:rPr>
        <w:footnoteRef/>
      </w:r>
      <w:r w:rsidRPr="00BE2169">
        <w:rPr>
          <w:rFonts w:ascii="Times New Roman" w:hAnsi="Times New Roman" w:cs="Times New Roman"/>
        </w:rPr>
        <w:t xml:space="preserve"> Charter of the United Nations 1945, Article 2(4).</w:t>
      </w:r>
    </w:p>
  </w:footnote>
  <w:footnote w:id="33">
    <w:p w14:paraId="68A31CF5" w14:textId="77777777" w:rsidR="00BE2169" w:rsidRPr="00BE2169" w:rsidRDefault="00BE2169" w:rsidP="00065AF0">
      <w:pPr>
        <w:spacing w:line="240" w:lineRule="auto"/>
        <w:ind w:firstLine="567"/>
        <w:jc w:val="both"/>
        <w:rPr>
          <w:rFonts w:ascii="Times New Roman" w:hAnsi="Times New Roman" w:cs="Times New Roman"/>
        </w:rPr>
      </w:pPr>
      <w:r w:rsidRPr="00BE2169">
        <w:rPr>
          <w:rStyle w:val="FootnoteReference"/>
          <w:rFonts w:ascii="Times New Roman" w:hAnsi="Times New Roman" w:cs="Times New Roman"/>
        </w:rPr>
        <w:footnoteRef/>
      </w:r>
      <w:r w:rsidRPr="00BE2169">
        <w:rPr>
          <w:rFonts w:ascii="Times New Roman" w:hAnsi="Times New Roman" w:cs="Times New Roman"/>
        </w:rPr>
        <w:t xml:space="preserve"> Frontier Dispute (Burkina Faso v. Mali), ICJ Reports 1986.</w:t>
      </w:r>
    </w:p>
  </w:footnote>
  <w:footnote w:id="34">
    <w:p w14:paraId="549AC72F" w14:textId="77777777" w:rsidR="00BE2169" w:rsidRPr="00BE2169" w:rsidRDefault="00BE2169" w:rsidP="00065AF0">
      <w:pPr>
        <w:spacing w:line="240" w:lineRule="auto"/>
        <w:ind w:firstLine="567"/>
        <w:jc w:val="both"/>
        <w:rPr>
          <w:rFonts w:ascii="Times New Roman" w:hAnsi="Times New Roman" w:cs="Times New Roman"/>
          <w:lang w:val="en-US"/>
        </w:rPr>
      </w:pPr>
      <w:r w:rsidRPr="00BE2169">
        <w:rPr>
          <w:rStyle w:val="FootnoteReference"/>
          <w:rFonts w:ascii="Times New Roman" w:hAnsi="Times New Roman" w:cs="Times New Roman"/>
        </w:rPr>
        <w:footnoteRef/>
      </w:r>
      <w:r w:rsidRPr="00BE2169">
        <w:rPr>
          <w:rFonts w:ascii="Times New Roman" w:hAnsi="Times New Roman" w:cs="Times New Roman"/>
        </w:rPr>
        <w:t xml:space="preserve"> Sovereignty over Pulau </w:t>
      </w:r>
      <w:r w:rsidRPr="00BE2169">
        <w:rPr>
          <w:rFonts w:ascii="Times New Roman" w:hAnsi="Times New Roman" w:cs="Times New Roman"/>
        </w:rPr>
        <w:t>Ligitan and Pulau Sipadan (Indonesia v. Malaysia), ICJ Reports 2002.</w:t>
      </w:r>
    </w:p>
  </w:footnote>
  <w:footnote w:id="35">
    <w:p w14:paraId="50D82A4B" w14:textId="77777777" w:rsidR="00BE2169" w:rsidRPr="00BE2169" w:rsidRDefault="00BE2169" w:rsidP="00065AF0">
      <w:pPr>
        <w:spacing w:line="240" w:lineRule="auto"/>
        <w:ind w:firstLine="567"/>
        <w:jc w:val="both"/>
        <w:rPr>
          <w:rFonts w:ascii="Times New Roman" w:hAnsi="Times New Roman" w:cs="Times New Roman"/>
          <w:lang w:val="en-US"/>
        </w:rPr>
      </w:pPr>
      <w:r w:rsidRPr="00BE2169">
        <w:rPr>
          <w:rStyle w:val="FootnoteReference"/>
          <w:rFonts w:ascii="Times New Roman" w:hAnsi="Times New Roman" w:cs="Times New Roman"/>
        </w:rPr>
        <w:footnoteRef/>
      </w:r>
      <w:r w:rsidRPr="00BE2169">
        <w:rPr>
          <w:rFonts w:ascii="Times New Roman" w:hAnsi="Times New Roman" w:cs="Times New Roman"/>
        </w:rPr>
        <w:t xml:space="preserve"> North Sea Continental Shelf Cases, ICJ Reports 1969.</w:t>
      </w:r>
    </w:p>
  </w:footnote>
  <w:footnote w:id="36">
    <w:p w14:paraId="0FDB5F62" w14:textId="77777777" w:rsidR="00BE2169" w:rsidRPr="00BE2169" w:rsidRDefault="00BE2169" w:rsidP="00065AF0">
      <w:pPr>
        <w:spacing w:line="240" w:lineRule="auto"/>
        <w:ind w:firstLine="567"/>
        <w:jc w:val="both"/>
        <w:rPr>
          <w:rFonts w:ascii="Times New Roman" w:hAnsi="Times New Roman" w:cs="Times New Roman"/>
        </w:rPr>
      </w:pPr>
      <w:r w:rsidRPr="00BE2169">
        <w:rPr>
          <w:rStyle w:val="FootnoteReference"/>
          <w:rFonts w:ascii="Times New Roman" w:hAnsi="Times New Roman" w:cs="Times New Roman"/>
        </w:rPr>
        <w:footnoteRef/>
      </w:r>
      <w:r w:rsidRPr="00BE2169">
        <w:rPr>
          <w:rFonts w:ascii="Times New Roman" w:hAnsi="Times New Roman" w:cs="Times New Roman"/>
        </w:rPr>
        <w:t xml:space="preserve"> Charter of the United Nations 1945, Article 33.</w:t>
      </w:r>
    </w:p>
  </w:footnote>
  <w:footnote w:id="37">
    <w:p w14:paraId="6DE6E7CC" w14:textId="77777777" w:rsidR="00BE2169" w:rsidRPr="00BE2169" w:rsidRDefault="00BE2169" w:rsidP="00065AF0">
      <w:pPr>
        <w:spacing w:line="240" w:lineRule="auto"/>
        <w:ind w:firstLine="567"/>
        <w:jc w:val="both"/>
        <w:rPr>
          <w:rFonts w:ascii="Times New Roman" w:hAnsi="Times New Roman" w:cs="Times New Roman"/>
        </w:rPr>
      </w:pPr>
      <w:r w:rsidRPr="00BE2169">
        <w:rPr>
          <w:rStyle w:val="FootnoteReference"/>
          <w:rFonts w:ascii="Times New Roman" w:hAnsi="Times New Roman" w:cs="Times New Roman"/>
        </w:rPr>
        <w:footnoteRef/>
      </w:r>
      <w:r w:rsidRPr="00BE2169">
        <w:rPr>
          <w:rFonts w:ascii="Times New Roman" w:hAnsi="Times New Roman" w:cs="Times New Roman"/>
        </w:rPr>
        <w:t xml:space="preserve"> Boer Mauna, International Law, p. 573.</w:t>
      </w:r>
    </w:p>
  </w:footnote>
  <w:footnote w:id="38">
    <w:p w14:paraId="4E577BF6" w14:textId="77777777" w:rsidR="00BE2169" w:rsidRPr="00BE2169" w:rsidRDefault="00BE2169" w:rsidP="00065AF0">
      <w:pPr>
        <w:spacing w:line="240" w:lineRule="auto"/>
        <w:ind w:firstLine="567"/>
        <w:jc w:val="both"/>
        <w:rPr>
          <w:rFonts w:ascii="Times New Roman" w:hAnsi="Times New Roman" w:cs="Times New Roman"/>
        </w:rPr>
      </w:pPr>
      <w:r w:rsidRPr="00BE2169">
        <w:rPr>
          <w:rStyle w:val="FootnoteReference"/>
          <w:rFonts w:ascii="Times New Roman" w:hAnsi="Times New Roman" w:cs="Times New Roman"/>
        </w:rPr>
        <w:footnoteRef/>
      </w:r>
      <w:r w:rsidRPr="00BE2169">
        <w:rPr>
          <w:rFonts w:ascii="Times New Roman" w:hAnsi="Times New Roman" w:cs="Times New Roman"/>
        </w:rPr>
        <w:t xml:space="preserve"> J.G. Starke, Introduction to International Law, p. 607.</w:t>
      </w:r>
    </w:p>
  </w:footnote>
  <w:footnote w:id="39">
    <w:p w14:paraId="0D3B7A24" w14:textId="77777777" w:rsidR="00BE2169" w:rsidRPr="00BE2169" w:rsidRDefault="00BE2169" w:rsidP="00065AF0">
      <w:pPr>
        <w:spacing w:line="240" w:lineRule="auto"/>
        <w:ind w:firstLine="567"/>
        <w:jc w:val="both"/>
        <w:rPr>
          <w:rFonts w:ascii="Times New Roman" w:hAnsi="Times New Roman" w:cs="Times New Roman"/>
        </w:rPr>
      </w:pPr>
      <w:r w:rsidRPr="00BE2169">
        <w:rPr>
          <w:rStyle w:val="FootnoteReference"/>
          <w:rFonts w:ascii="Times New Roman" w:hAnsi="Times New Roman" w:cs="Times New Roman"/>
        </w:rPr>
        <w:footnoteRef/>
      </w:r>
      <w:r w:rsidRPr="00BE2169">
        <w:rPr>
          <w:rFonts w:ascii="Times New Roman" w:hAnsi="Times New Roman" w:cs="Times New Roman"/>
        </w:rPr>
        <w:t xml:space="preserve"> Boer Mauna, International Law, p. 578.</w:t>
      </w:r>
    </w:p>
  </w:footnote>
  <w:footnote w:id="40">
    <w:p w14:paraId="3DC96E87" w14:textId="77777777" w:rsidR="00BE2169" w:rsidRPr="00BE2169" w:rsidRDefault="00BE2169" w:rsidP="00065AF0">
      <w:pPr>
        <w:spacing w:line="240" w:lineRule="auto"/>
        <w:ind w:firstLine="567"/>
        <w:jc w:val="both"/>
        <w:rPr>
          <w:rFonts w:ascii="Times New Roman" w:hAnsi="Times New Roman" w:cs="Times New Roman"/>
        </w:rPr>
      </w:pPr>
      <w:r w:rsidRPr="00BE2169">
        <w:rPr>
          <w:rStyle w:val="FootnoteReference"/>
          <w:rFonts w:ascii="Times New Roman" w:hAnsi="Times New Roman" w:cs="Times New Roman"/>
        </w:rPr>
        <w:footnoteRef/>
      </w:r>
      <w:r w:rsidRPr="00BE2169">
        <w:rPr>
          <w:rFonts w:ascii="Times New Roman" w:hAnsi="Times New Roman" w:cs="Times New Roman"/>
        </w:rPr>
        <w:t xml:space="preserve"> Charter of the United Nations 1945, Article 33.</w:t>
      </w:r>
    </w:p>
  </w:footnote>
  <w:footnote w:id="41">
    <w:p w14:paraId="73A1F467" w14:textId="77777777" w:rsidR="00BE2169" w:rsidRPr="00BE2169" w:rsidRDefault="00BE2169" w:rsidP="00065AF0">
      <w:pPr>
        <w:spacing w:line="240" w:lineRule="auto"/>
        <w:ind w:firstLine="567"/>
        <w:jc w:val="both"/>
        <w:rPr>
          <w:rFonts w:ascii="Times New Roman" w:hAnsi="Times New Roman" w:cs="Times New Roman"/>
          <w:lang w:val="en-US"/>
        </w:rPr>
      </w:pPr>
      <w:r w:rsidRPr="00BE2169">
        <w:rPr>
          <w:rStyle w:val="FootnoteReference"/>
          <w:rFonts w:ascii="Times New Roman" w:hAnsi="Times New Roman" w:cs="Times New Roman"/>
        </w:rPr>
        <w:footnoteRef/>
      </w:r>
      <w:r w:rsidRPr="00BE2169">
        <w:rPr>
          <w:rFonts w:ascii="Times New Roman" w:hAnsi="Times New Roman" w:cs="Times New Roman"/>
        </w:rPr>
        <w:t xml:space="preserve"> J.G. Starke, Introduction to International Law, p. 610.</w:t>
      </w:r>
    </w:p>
  </w:footnote>
  <w:footnote w:id="42">
    <w:p w14:paraId="2729F893" w14:textId="77777777" w:rsidR="00BE2169" w:rsidRPr="00BE2169" w:rsidRDefault="00BE2169" w:rsidP="00065AF0">
      <w:pPr>
        <w:spacing w:line="240" w:lineRule="auto"/>
        <w:ind w:firstLine="567"/>
        <w:jc w:val="both"/>
        <w:rPr>
          <w:rFonts w:ascii="Times New Roman" w:hAnsi="Times New Roman" w:cs="Times New Roman"/>
        </w:rPr>
      </w:pPr>
      <w:r w:rsidRPr="00BE2169">
        <w:rPr>
          <w:rStyle w:val="FootnoteReference"/>
          <w:rFonts w:ascii="Times New Roman" w:hAnsi="Times New Roman" w:cs="Times New Roman"/>
        </w:rPr>
        <w:footnoteRef/>
      </w:r>
      <w:r w:rsidRPr="00BE2169">
        <w:rPr>
          <w:rFonts w:ascii="Times New Roman" w:hAnsi="Times New Roman" w:cs="Times New Roman"/>
        </w:rPr>
        <w:t xml:space="preserve"> Malcolm N. Shaw, International Law, hlm. 912.</w:t>
      </w:r>
    </w:p>
  </w:footnote>
  <w:footnote w:id="43">
    <w:p w14:paraId="1031DB46" w14:textId="77777777" w:rsidR="00BE2169" w:rsidRPr="00BE2169" w:rsidRDefault="00BE2169" w:rsidP="00065AF0">
      <w:pPr>
        <w:spacing w:line="240" w:lineRule="auto"/>
        <w:ind w:firstLine="567"/>
        <w:jc w:val="both"/>
        <w:rPr>
          <w:rFonts w:ascii="Times New Roman" w:hAnsi="Times New Roman" w:cs="Times New Roman"/>
        </w:rPr>
      </w:pPr>
      <w:r w:rsidRPr="00BE2169">
        <w:rPr>
          <w:rStyle w:val="FootnoteReference"/>
          <w:rFonts w:ascii="Times New Roman" w:hAnsi="Times New Roman" w:cs="Times New Roman"/>
        </w:rPr>
        <w:footnoteRef/>
      </w:r>
      <w:r w:rsidRPr="00BE2169">
        <w:rPr>
          <w:rFonts w:ascii="Times New Roman" w:hAnsi="Times New Roman" w:cs="Times New Roman"/>
        </w:rPr>
        <w:t xml:space="preserve"> Boer Mauna, International Law, p. 585.</w:t>
      </w:r>
    </w:p>
    <w:p w14:paraId="63B5C4EC" w14:textId="77777777" w:rsidR="00BE2169" w:rsidRPr="00BE2169" w:rsidRDefault="00BE2169" w:rsidP="00065AF0">
      <w:pPr>
        <w:pStyle w:val="FootnoteText"/>
        <w:ind w:firstLine="567"/>
        <w:jc w:val="both"/>
        <w:rPr>
          <w:sz w:val="22"/>
          <w:szCs w:val="22"/>
          <w:lang w:val="en-US"/>
        </w:rPr>
      </w:pPr>
    </w:p>
  </w:footnote>
  <w:footnote w:id="44">
    <w:p w14:paraId="4F50904A" w14:textId="77777777" w:rsidR="00BE2169" w:rsidRPr="00D65FFD" w:rsidRDefault="00BE2169" w:rsidP="00065AF0">
      <w:pPr>
        <w:spacing w:line="240" w:lineRule="auto"/>
        <w:ind w:firstLine="567"/>
        <w:jc w:val="both"/>
        <w:rPr>
          <w:rFonts w:ascii="Times New Roman" w:hAnsi="Times New Roman" w:cs="Times New Roman"/>
          <w:sz w:val="16"/>
          <w:szCs w:val="16"/>
          <w:lang w:val="en-US"/>
        </w:rPr>
      </w:pPr>
      <w:r w:rsidRPr="00BE2169">
        <w:rPr>
          <w:rStyle w:val="FootnoteReference"/>
          <w:rFonts w:ascii="Times New Roman" w:hAnsi="Times New Roman" w:cs="Times New Roman"/>
        </w:rPr>
        <w:footnoteRef/>
      </w:r>
      <w:r w:rsidRPr="00BE2169">
        <w:rPr>
          <w:rFonts w:ascii="Times New Roman" w:hAnsi="Times New Roman" w:cs="Times New Roman"/>
        </w:rPr>
        <w:t xml:space="preserve"> Statute of the International Court of Justice, Article 1</w:t>
      </w:r>
      <w:r w:rsidRPr="00D65FFD">
        <w:rPr>
          <w:rFonts w:ascii="Times New Roman" w:hAnsi="Times New Roman" w:cs="Times New Roman"/>
          <w:sz w:val="16"/>
          <w:szCs w:val="16"/>
        </w:rPr>
        <w:t>.</w:t>
      </w:r>
    </w:p>
  </w:footnote>
  <w:footnote w:id="45">
    <w:p w14:paraId="60BC38B4" w14:textId="77777777" w:rsidR="00BE2169" w:rsidRPr="00BE2169" w:rsidRDefault="00BE2169" w:rsidP="00065AF0">
      <w:pPr>
        <w:spacing w:line="240" w:lineRule="auto"/>
        <w:ind w:firstLine="567"/>
        <w:jc w:val="both"/>
        <w:rPr>
          <w:rFonts w:ascii="Times New Roman" w:hAnsi="Times New Roman" w:cs="Times New Roman"/>
        </w:rPr>
      </w:pPr>
      <w:r w:rsidRPr="00BE2169">
        <w:rPr>
          <w:rStyle w:val="FootnoteReference"/>
          <w:rFonts w:ascii="Times New Roman" w:hAnsi="Times New Roman" w:cs="Times New Roman"/>
        </w:rPr>
        <w:footnoteRef/>
      </w:r>
      <w:r w:rsidRPr="00BE2169">
        <w:rPr>
          <w:rFonts w:ascii="Times New Roman" w:hAnsi="Times New Roman" w:cs="Times New Roman"/>
        </w:rPr>
        <w:t xml:space="preserve"> Malcolm N. Shaw, </w:t>
      </w:r>
      <w:r w:rsidRPr="00BE2169">
        <w:rPr>
          <w:rFonts w:ascii="Times New Roman" w:hAnsi="Times New Roman" w:cs="Times New Roman"/>
          <w:i/>
          <w:iCs/>
        </w:rPr>
        <w:t>International Law</w:t>
      </w:r>
      <w:r w:rsidRPr="00BE2169">
        <w:rPr>
          <w:rFonts w:ascii="Times New Roman" w:hAnsi="Times New Roman" w:cs="Times New Roman"/>
        </w:rPr>
        <w:t>, hlm. 932.</w:t>
      </w:r>
    </w:p>
    <w:p w14:paraId="2FD838B8" w14:textId="77777777" w:rsidR="00BE2169" w:rsidRPr="002849DF" w:rsidRDefault="00BE2169" w:rsidP="00065AF0">
      <w:pPr>
        <w:pStyle w:val="FootnoteText"/>
        <w:ind w:firstLine="567"/>
        <w:jc w:val="both"/>
        <w:rPr>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E9A112" w14:textId="77777777" w:rsidR="00B92BA9" w:rsidRDefault="001F3EA8">
    <w:pPr>
      <w:pBdr>
        <w:top w:val="nil"/>
        <w:left w:val="nil"/>
        <w:bottom w:val="nil"/>
        <w:right w:val="nil"/>
        <w:between w:val="nil"/>
      </w:pBdr>
      <w:tabs>
        <w:tab w:val="center" w:pos="4680"/>
        <w:tab w:val="right" w:pos="9360"/>
        <w:tab w:val="left" w:pos="1985"/>
      </w:tabs>
      <w:spacing w:after="0" w:line="240" w:lineRule="auto"/>
      <w:rPr>
        <w:color w:val="000000"/>
      </w:rPr>
    </w:pPr>
    <w:r>
      <w:rPr>
        <w:noProof/>
      </w:rPr>
      <mc:AlternateContent>
        <mc:Choice Requires="wps">
          <w:drawing>
            <wp:anchor distT="0" distB="0" distL="114300" distR="114300" simplePos="0" relativeHeight="251659264" behindDoc="0" locked="0" layoutInCell="1" hidden="0" allowOverlap="1" wp14:anchorId="19F57D7E" wp14:editId="79DC007E">
              <wp:simplePos x="0" y="0"/>
              <wp:positionH relativeFrom="column">
                <wp:posOffset>1079500</wp:posOffset>
              </wp:positionH>
              <wp:positionV relativeFrom="paragraph">
                <wp:posOffset>-444499</wp:posOffset>
              </wp:positionV>
              <wp:extent cx="3335020" cy="1399540"/>
              <wp:effectExtent l="0" t="0" r="0" b="0"/>
              <wp:wrapNone/>
              <wp:docPr id="1576654507" name="Rectangle 1576654507"/>
              <wp:cNvGraphicFramePr/>
              <a:graphic xmlns:a="http://schemas.openxmlformats.org/drawingml/2006/main">
                <a:graphicData uri="http://schemas.microsoft.com/office/word/2010/wordprocessingShape">
                  <wps:wsp>
                    <wps:cNvSpPr/>
                    <wps:spPr>
                      <a:xfrm>
                        <a:off x="3683253" y="3084993"/>
                        <a:ext cx="3325495" cy="139001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668282DC" w14:textId="77777777" w:rsidR="00B92BA9" w:rsidRDefault="001F3EA8">
                          <w:pPr>
                            <w:spacing w:before="240" w:after="240" w:line="275" w:lineRule="auto"/>
                            <w:textDirection w:val="btLr"/>
                          </w:pPr>
                          <w:r>
                            <w:rPr>
                              <w:rFonts w:ascii="Arial" w:eastAsia="Arial" w:hAnsi="Arial" w:cs="Arial"/>
                              <w:b/>
                              <w:color w:val="000000"/>
                              <w:sz w:val="44"/>
                            </w:rPr>
                            <w:t>IPSO JURE</w:t>
                          </w:r>
                        </w:p>
                        <w:p w14:paraId="1EB6CD73" w14:textId="6C305A09" w:rsidR="00B92BA9" w:rsidRDefault="001F3EA8">
                          <w:pPr>
                            <w:spacing w:before="240" w:after="240" w:line="275" w:lineRule="auto"/>
                            <w:textDirection w:val="btLr"/>
                          </w:pPr>
                          <w:r>
                            <w:rPr>
                              <w:rFonts w:ascii="Arial" w:eastAsia="Arial" w:hAnsi="Arial" w:cs="Arial"/>
                              <w:color w:val="000000"/>
                              <w:sz w:val="20"/>
                            </w:rPr>
                            <w:t>Journal</w:t>
                          </w:r>
                        </w:p>
                        <w:p w14:paraId="66501DE6" w14:textId="77777777" w:rsidR="00A46596" w:rsidRDefault="00A46596" w:rsidP="00A46596">
                          <w:pPr>
                            <w:spacing w:after="0" w:line="240" w:lineRule="auto"/>
                            <w:textDirection w:val="btLr"/>
                            <w:rPr>
                              <w:rFonts w:ascii="Arial" w:eastAsia="Arial" w:hAnsi="Arial" w:cs="Arial"/>
                              <w:color w:val="000000"/>
                              <w:sz w:val="20"/>
                            </w:rPr>
                          </w:pPr>
                          <w:r w:rsidRPr="004B617E">
                            <w:rPr>
                              <w:rFonts w:ascii="Arial" w:eastAsia="Arial" w:hAnsi="Arial" w:cs="Arial"/>
                              <w:color w:val="000000"/>
                              <w:sz w:val="20"/>
                            </w:rPr>
                            <w:t>Vol. 3. No. 7, August</w:t>
                          </w:r>
                          <w:r>
                            <w:rPr>
                              <w:rFonts w:ascii="Arial" w:eastAsia="Arial" w:hAnsi="Arial" w:cs="Arial"/>
                              <w:color w:val="000000"/>
                              <w:sz w:val="20"/>
                            </w:rPr>
                            <w:t xml:space="preserve"> </w:t>
                          </w:r>
                          <w:r w:rsidRPr="004B617E">
                            <w:rPr>
                              <w:rFonts w:ascii="Arial" w:eastAsia="Arial" w:hAnsi="Arial" w:cs="Arial"/>
                              <w:color w:val="000000"/>
                              <w:sz w:val="20"/>
                            </w:rPr>
                            <w:t>2026</w:t>
                          </w:r>
                          <w:r>
                            <w:rPr>
                              <w:rFonts w:ascii="Arial" w:eastAsia="Arial" w:hAnsi="Arial" w:cs="Arial"/>
                              <w:color w:val="000000"/>
                              <w:sz w:val="20"/>
                            </w:rPr>
                            <w:t xml:space="preserve">   </w:t>
                          </w:r>
                        </w:p>
                        <w:p w14:paraId="2A97EEA0" w14:textId="6DBD35F7" w:rsidR="00A46596" w:rsidRDefault="00A46596" w:rsidP="00A46596">
                          <w:pPr>
                            <w:spacing w:after="0" w:line="258" w:lineRule="auto"/>
                            <w:textDirection w:val="btLr"/>
                            <w:rPr>
                              <w:rFonts w:ascii="Arial" w:eastAsia="Arial" w:hAnsi="Arial" w:cs="Arial"/>
                              <w:color w:val="000000"/>
                              <w:sz w:val="20"/>
                            </w:rPr>
                          </w:pPr>
                          <w:r>
                            <w:rPr>
                              <w:rFonts w:ascii="Arial" w:eastAsia="Arial" w:hAnsi="Arial" w:cs="Arial"/>
                              <w:color w:val="000000"/>
                              <w:sz w:val="20"/>
                            </w:rPr>
                            <w:t xml:space="preserve">DOI Number : </w:t>
                          </w:r>
                          <w:hyperlink r:id="rId1" w:history="1">
                            <w:r w:rsidRPr="00AB34E4">
                              <w:rPr>
                                <w:rStyle w:val="Hyperlink"/>
                                <w:rFonts w:ascii="Arial" w:eastAsia="Arial" w:hAnsi="Arial" w:cs="Arial"/>
                                <w:sz w:val="20"/>
                              </w:rPr>
                              <w:t>https://doi.org/10.62872/d4frhb17</w:t>
                            </w:r>
                          </w:hyperlink>
                        </w:p>
                        <w:p w14:paraId="0FB9E3FA" w14:textId="77777777" w:rsidR="00A46596" w:rsidRDefault="00A46596" w:rsidP="00A46596">
                          <w:pPr>
                            <w:spacing w:after="0" w:line="258" w:lineRule="auto"/>
                            <w:textDirection w:val="btLr"/>
                            <w:rPr>
                              <w:rFonts w:ascii="Arial" w:eastAsia="Arial" w:hAnsi="Arial" w:cs="Arial"/>
                              <w:color w:val="000000"/>
                              <w:sz w:val="20"/>
                            </w:rPr>
                          </w:pPr>
                        </w:p>
                        <w:p w14:paraId="5667C728" w14:textId="77777777" w:rsidR="00A46596" w:rsidRDefault="00A46596">
                          <w:pPr>
                            <w:spacing w:before="240" w:after="240" w:line="275" w:lineRule="auto"/>
                            <w:textDirection w:val="btLr"/>
                          </w:pPr>
                        </w:p>
                        <w:p w14:paraId="65F48240" w14:textId="77777777" w:rsidR="00B92BA9" w:rsidRDefault="00B92BA9">
                          <w:pPr>
                            <w:spacing w:after="0" w:line="258" w:lineRule="auto"/>
                            <w:textDirection w:val="btLr"/>
                          </w:pPr>
                        </w:p>
                        <w:p w14:paraId="7035CA68" w14:textId="77777777" w:rsidR="00B92BA9" w:rsidRDefault="00B92BA9">
                          <w:pPr>
                            <w:spacing w:after="0" w:line="258" w:lineRule="auto"/>
                            <w:textDirection w:val="btLr"/>
                          </w:pPr>
                        </w:p>
                        <w:p w14:paraId="5AA2ECF8" w14:textId="77777777" w:rsidR="00B92BA9" w:rsidRDefault="00B92BA9">
                          <w:pPr>
                            <w:spacing w:line="258" w:lineRule="auto"/>
                            <w:textDirection w:val="btLr"/>
                          </w:pPr>
                        </w:p>
                      </w:txbxContent>
                    </wps:txbx>
                    <wps:bodyPr spcFirstLastPara="1" wrap="square" lIns="91425" tIns="45700" rIns="91425" bIns="45700" anchor="t" anchorCtr="0">
                      <a:noAutofit/>
                    </wps:bodyPr>
                  </wps:wsp>
                </a:graphicData>
              </a:graphic>
            </wp:anchor>
          </w:drawing>
        </mc:Choice>
        <mc:Fallback>
          <w:pict>
            <v:rect w14:anchorId="19F57D7E" id="Rectangle 1576654507" o:spid="_x0000_s1026" style="position:absolute;margin-left:85pt;margin-top:-35pt;width:262.6pt;height:110.2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">
              <v:stroke startarrowwidth="narrow" startarrowlength="short" endarrowwidth="narrow" endarrowlength="short"/>
              <v:textbox inset="2.53958mm,1.2694mm,2.53958mm,1.2694mm">
                <w:txbxContent>
                  <w:p w14:paraId="668282DC" w14:textId="77777777" w:rsidR="00B92BA9" w:rsidRDefault="001F3EA8">
                    <w:pPr>
                      <w:spacing w:before="240" w:after="240" w:line="275" w:lineRule="auto"/>
                      <w:textDirection w:val="btLr"/>
                    </w:pPr>
                    <w:r>
                      <w:rPr>
                        <w:rFonts w:ascii="Arial" w:eastAsia="Arial" w:hAnsi="Arial" w:cs="Arial"/>
                        <w:b/>
                        <w:color w:val="000000"/>
                        <w:sz w:val="44"/>
                      </w:rPr>
                      <w:t>IPSO JURE</w:t>
                    </w:r>
                  </w:p>
                  <w:p w14:paraId="1EB6CD73" w14:textId="6C305A09" w:rsidR="00B92BA9" w:rsidRDefault="001F3EA8">
                    <w:pPr>
                      <w:spacing w:before="240" w:after="240" w:line="275" w:lineRule="auto"/>
                      <w:textDirection w:val="btLr"/>
                    </w:pPr>
                    <w:r>
                      <w:rPr>
                        <w:rFonts w:ascii="Arial" w:eastAsia="Arial" w:hAnsi="Arial" w:cs="Arial"/>
                        <w:color w:val="000000"/>
                        <w:sz w:val="20"/>
                      </w:rPr>
                      <w:t>Journal</w:t>
                    </w:r>
                  </w:p>
                  <w:p w14:paraId="66501DE6" w14:textId="77777777" w:rsidR="00A46596" w:rsidRDefault="00A46596" w:rsidP="00A46596">
                    <w:pPr>
                      <w:spacing w:after="0" w:line="240" w:lineRule="auto"/>
                      <w:textDirection w:val="btLr"/>
                      <w:rPr>
                        <w:rFonts w:ascii="Arial" w:eastAsia="Arial" w:hAnsi="Arial" w:cs="Arial"/>
                        <w:color w:val="000000"/>
                        <w:sz w:val="20"/>
                      </w:rPr>
                    </w:pPr>
                    <w:r w:rsidRPr="004B617E">
                      <w:rPr>
                        <w:rFonts w:ascii="Arial" w:eastAsia="Arial" w:hAnsi="Arial" w:cs="Arial"/>
                        <w:color w:val="000000"/>
                        <w:sz w:val="20"/>
                      </w:rPr>
                      <w:t>Vol. 3. No. 7, August</w:t>
                    </w:r>
                    <w:r>
                      <w:rPr>
                        <w:rFonts w:ascii="Arial" w:eastAsia="Arial" w:hAnsi="Arial" w:cs="Arial"/>
                        <w:color w:val="000000"/>
                        <w:sz w:val="20"/>
                      </w:rPr>
                      <w:t xml:space="preserve"> </w:t>
                    </w:r>
                    <w:r w:rsidRPr="004B617E">
                      <w:rPr>
                        <w:rFonts w:ascii="Arial" w:eastAsia="Arial" w:hAnsi="Arial" w:cs="Arial"/>
                        <w:color w:val="000000"/>
                        <w:sz w:val="20"/>
                      </w:rPr>
                      <w:t>2026</w:t>
                    </w:r>
                    <w:r>
                      <w:rPr>
                        <w:rFonts w:ascii="Arial" w:eastAsia="Arial" w:hAnsi="Arial" w:cs="Arial"/>
                        <w:color w:val="000000"/>
                        <w:sz w:val="20"/>
                      </w:rPr>
                      <w:t xml:space="preserve">   </w:t>
                    </w:r>
                  </w:p>
                  <w:p w14:paraId="2A97EEA0" w14:textId="6DBD35F7" w:rsidR="00A46596" w:rsidRDefault="00A46596" w:rsidP="00A46596">
                    <w:pPr>
                      <w:spacing w:after="0" w:line="258" w:lineRule="auto"/>
                      <w:textDirection w:val="btLr"/>
                      <w:rPr>
                        <w:rFonts w:ascii="Arial" w:eastAsia="Arial" w:hAnsi="Arial" w:cs="Arial"/>
                        <w:color w:val="000000"/>
                        <w:sz w:val="20"/>
                      </w:rPr>
                    </w:pPr>
                    <w:r>
                      <w:rPr>
                        <w:rFonts w:ascii="Arial" w:eastAsia="Arial" w:hAnsi="Arial" w:cs="Arial"/>
                        <w:color w:val="000000"/>
                        <w:sz w:val="20"/>
                      </w:rPr>
                      <w:t xml:space="preserve">DOI </w:t>
                    </w:r>
                    <w:proofErr w:type="gramStart"/>
                    <w:r>
                      <w:rPr>
                        <w:rFonts w:ascii="Arial" w:eastAsia="Arial" w:hAnsi="Arial" w:cs="Arial"/>
                        <w:color w:val="000000"/>
                        <w:sz w:val="20"/>
                      </w:rPr>
                      <w:t>Number :</w:t>
                    </w:r>
                    <w:proofErr w:type="gramEnd"/>
                    <w:r>
                      <w:rPr>
                        <w:rFonts w:ascii="Arial" w:eastAsia="Arial" w:hAnsi="Arial" w:cs="Arial"/>
                        <w:color w:val="000000"/>
                        <w:sz w:val="20"/>
                      </w:rPr>
                      <w:t xml:space="preserve"> </w:t>
                    </w:r>
                    <w:hyperlink r:id="rId2" w:history="1">
                      <w:r w:rsidRPr="00AB34E4">
                        <w:rPr>
                          <w:rStyle w:val="Hyperlink"/>
                          <w:rFonts w:ascii="Arial" w:eastAsia="Arial" w:hAnsi="Arial" w:cs="Arial"/>
                          <w:sz w:val="20"/>
                        </w:rPr>
                        <w:t>https://doi.org/10.62872/d4frhb17</w:t>
                      </w:r>
                    </w:hyperlink>
                  </w:p>
                  <w:p w14:paraId="0FB9E3FA" w14:textId="77777777" w:rsidR="00A46596" w:rsidRDefault="00A46596" w:rsidP="00A46596">
                    <w:pPr>
                      <w:spacing w:after="0" w:line="258" w:lineRule="auto"/>
                      <w:textDirection w:val="btLr"/>
                      <w:rPr>
                        <w:rFonts w:ascii="Arial" w:eastAsia="Arial" w:hAnsi="Arial" w:cs="Arial"/>
                        <w:color w:val="000000"/>
                        <w:sz w:val="20"/>
                      </w:rPr>
                    </w:pPr>
                  </w:p>
                  <w:p w14:paraId="5667C728" w14:textId="77777777" w:rsidR="00A46596" w:rsidRDefault="00A46596">
                    <w:pPr>
                      <w:spacing w:before="240" w:after="240" w:line="275" w:lineRule="auto"/>
                      <w:textDirection w:val="btLr"/>
                    </w:pPr>
                  </w:p>
                  <w:p w14:paraId="65F48240" w14:textId="77777777" w:rsidR="00B92BA9" w:rsidRDefault="00B92BA9">
                    <w:pPr>
                      <w:spacing w:after="0" w:line="258" w:lineRule="auto"/>
                      <w:textDirection w:val="btLr"/>
                    </w:pPr>
                  </w:p>
                  <w:p w14:paraId="7035CA68" w14:textId="77777777" w:rsidR="00B92BA9" w:rsidRDefault="00B92BA9">
                    <w:pPr>
                      <w:spacing w:after="0" w:line="258" w:lineRule="auto"/>
                      <w:textDirection w:val="btLr"/>
                    </w:pPr>
                  </w:p>
                  <w:p w14:paraId="5AA2ECF8" w14:textId="77777777" w:rsidR="00B92BA9" w:rsidRDefault="00B92BA9">
                    <w:pPr>
                      <w:spacing w:line="258" w:lineRule="auto"/>
                      <w:textDirection w:val="btLr"/>
                    </w:pPr>
                  </w:p>
                </w:txbxContent>
              </v:textbox>
            </v:rect>
          </w:pict>
        </mc:Fallback>
      </mc:AlternateContent>
    </w:r>
    <w:r>
      <w:rPr>
        <w:noProof/>
      </w:rPr>
      <mc:AlternateContent>
        <mc:Choice Requires="wps">
          <w:drawing>
            <wp:anchor distT="0" distB="0" distL="114300" distR="114300" simplePos="0" relativeHeight="251660288" behindDoc="0" locked="0" layoutInCell="1" hidden="0" allowOverlap="1" wp14:anchorId="080BEB0C" wp14:editId="4C44D5D8">
              <wp:simplePos x="0" y="0"/>
              <wp:positionH relativeFrom="column">
                <wp:posOffset>3429000</wp:posOffset>
              </wp:positionH>
              <wp:positionV relativeFrom="paragraph">
                <wp:posOffset>-266699</wp:posOffset>
              </wp:positionV>
              <wp:extent cx="3757295" cy="803275"/>
              <wp:effectExtent l="0" t="0" r="0" b="0"/>
              <wp:wrapNone/>
              <wp:docPr id="1576654504" name="Rectangle 1576654504"/>
              <wp:cNvGraphicFramePr/>
              <a:graphic xmlns:a="http://schemas.openxmlformats.org/drawingml/2006/main">
                <a:graphicData uri="http://schemas.microsoft.com/office/word/2010/wordprocessingShape">
                  <wps:wsp>
                    <wps:cNvSpPr/>
                    <wps:spPr>
                      <a:xfrm>
                        <a:off x="3480053" y="3391063"/>
                        <a:ext cx="3731895" cy="777875"/>
                      </a:xfrm>
                      <a:prstGeom prst="rect">
                        <a:avLst/>
                      </a:prstGeom>
                      <a:solidFill>
                        <a:srgbClr val="C00000"/>
                      </a:solidFill>
                      <a:ln w="12700" cap="flat" cmpd="sng">
                        <a:solidFill>
                          <a:schemeClr val="accent1"/>
                        </a:solidFill>
                        <a:prstDash val="solid"/>
                        <a:miter lim="800000"/>
                        <a:headEnd type="none" w="sm" len="sm"/>
                        <a:tailEnd type="none" w="sm" len="sm"/>
                      </a:ln>
                      <a:effectLst>
                        <a:outerShdw dist="28398" dir="3806097" algn="ctr" rotWithShape="0">
                          <a:srgbClr val="244061"/>
                        </a:outerShdw>
                      </a:effectLst>
                    </wps:spPr>
                    <wps:txbx>
                      <w:txbxContent>
                        <w:p w14:paraId="6F737FCE" w14:textId="77777777" w:rsidR="00B92BA9" w:rsidRDefault="00B92BA9">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080BEB0C" id="Rectangle 1576654504" o:spid="_x0000_s1027" style="position:absolute;margin-left:270pt;margin-top:-21pt;width:295.85pt;height:63.2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" fillcolor="#c00000" strokecolor="#4472c4 [3204]" strokeweight="1pt">
              <v:stroke startarrowwidth="narrow" startarrowlength="short" endarrowwidth="narrow" endarrowlength="short"/>
              <v:shadow on="t" color="#244061" offset="1pt"/>
              <v:textbox inset="2.53958mm,2.53958mm,2.53958mm,2.53958mm">
                <w:txbxContent>
                  <w:p w14:paraId="6F737FCE" w14:textId="77777777" w:rsidR="00B92BA9" w:rsidRDefault="00B92BA9">
                    <w:pPr>
                      <w:spacing w:after="0" w:line="240" w:lineRule="auto"/>
                      <w:textDirection w:val="btLr"/>
                    </w:pPr>
                  </w:p>
                </w:txbxContent>
              </v:textbox>
            </v:rect>
          </w:pict>
        </mc:Fallback>
      </mc:AlternateContent>
    </w:r>
    <w:r>
      <w:rPr>
        <w:noProof/>
      </w:rPr>
      <mc:AlternateContent>
        <mc:Choice Requires="wps">
          <w:drawing>
            <wp:anchor distT="0" distB="0" distL="114300" distR="114300" simplePos="0" relativeHeight="251661312" behindDoc="0" locked="0" layoutInCell="1" hidden="0" allowOverlap="1" wp14:anchorId="07CC98F0" wp14:editId="4F13DE04">
              <wp:simplePos x="0" y="0"/>
              <wp:positionH relativeFrom="column">
                <wp:posOffset>-1054099</wp:posOffset>
              </wp:positionH>
              <wp:positionV relativeFrom="paragraph">
                <wp:posOffset>-457199</wp:posOffset>
              </wp:positionV>
              <wp:extent cx="534670" cy="1409065"/>
              <wp:effectExtent l="0" t="0" r="0" b="0"/>
              <wp:wrapNone/>
              <wp:docPr id="1576654509" name="Rectangle 1576654509"/>
              <wp:cNvGraphicFramePr/>
              <a:graphic xmlns:a="http://schemas.openxmlformats.org/drawingml/2006/main">
                <a:graphicData uri="http://schemas.microsoft.com/office/word/2010/wordprocessingShape">
                  <wps:wsp>
                    <wps:cNvSpPr/>
                    <wps:spPr>
                      <a:xfrm>
                        <a:off x="5088190" y="3084993"/>
                        <a:ext cx="515620" cy="1390015"/>
                      </a:xfrm>
                      <a:prstGeom prst="rect">
                        <a:avLst/>
                      </a:prstGeom>
                      <a:solidFill>
                        <a:srgbClr val="C00000"/>
                      </a:solidFill>
                      <a:ln w="9525" cap="flat" cmpd="sng">
                        <a:solidFill>
                          <a:srgbClr val="000000"/>
                        </a:solidFill>
                        <a:prstDash val="solid"/>
                        <a:miter lim="800000"/>
                        <a:headEnd type="none" w="sm" len="sm"/>
                        <a:tailEnd type="none" w="sm" len="sm"/>
                      </a:ln>
                    </wps:spPr>
                    <wps:txbx>
                      <w:txbxContent>
                        <w:p w14:paraId="004B7C45" w14:textId="77777777" w:rsidR="00B92BA9" w:rsidRDefault="00B92BA9">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07CC98F0" id="Rectangle 1576654509" o:spid="_x0000_s1028" style="position:absolute;margin-left:-83pt;margin-top:-36pt;width:42.1pt;height:110.9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" fillcolor="#c00000">
              <v:stroke startarrowwidth="narrow" startarrowlength="short" endarrowwidth="narrow" endarrowlength="short"/>
              <v:textbox inset="2.53958mm,2.53958mm,2.53958mm,2.53958mm">
                <w:txbxContent>
                  <w:p w14:paraId="004B7C45" w14:textId="77777777" w:rsidR="00B92BA9" w:rsidRDefault="00B92BA9">
                    <w:pPr>
                      <w:spacing w:after="0" w:line="240" w:lineRule="auto"/>
                      <w:textDirection w:val="btLr"/>
                    </w:pPr>
                  </w:p>
                </w:txbxContent>
              </v:textbox>
            </v:rect>
          </w:pict>
        </mc:Fallback>
      </mc:AlternateContent>
    </w:r>
    <w:r>
      <w:rPr>
        <w:noProof/>
      </w:rPr>
      <mc:AlternateContent>
        <mc:Choice Requires="wps">
          <w:drawing>
            <wp:anchor distT="0" distB="0" distL="114300" distR="114300" simplePos="0" relativeHeight="251662336" behindDoc="0" locked="0" layoutInCell="1" hidden="0" allowOverlap="1" wp14:anchorId="48392D73" wp14:editId="54916121">
              <wp:simplePos x="0" y="0"/>
              <wp:positionH relativeFrom="column">
                <wp:posOffset>3429000</wp:posOffset>
              </wp:positionH>
              <wp:positionV relativeFrom="paragraph">
                <wp:posOffset>-266699</wp:posOffset>
              </wp:positionV>
              <wp:extent cx="3458845" cy="796925"/>
              <wp:effectExtent l="0" t="0" r="0" b="0"/>
              <wp:wrapNone/>
              <wp:docPr id="1576654508" name="Rectangle 1576654508"/>
              <wp:cNvGraphicFramePr/>
              <a:graphic xmlns:a="http://schemas.openxmlformats.org/drawingml/2006/main">
                <a:graphicData uri="http://schemas.microsoft.com/office/word/2010/wordprocessingShape">
                  <wps:wsp>
                    <wps:cNvSpPr/>
                    <wps:spPr>
                      <a:xfrm>
                        <a:off x="3626103" y="3391063"/>
                        <a:ext cx="3439795" cy="777875"/>
                      </a:xfrm>
                      <a:prstGeom prst="rect">
                        <a:avLst/>
                      </a:prstGeom>
                      <a:solidFill>
                        <a:srgbClr val="C00000"/>
                      </a:solidFill>
                      <a:ln w="9525" cap="flat" cmpd="sng">
                        <a:solidFill>
                          <a:srgbClr val="000000"/>
                        </a:solidFill>
                        <a:prstDash val="solid"/>
                        <a:miter lim="800000"/>
                        <a:headEnd type="none" w="sm" len="sm"/>
                        <a:tailEnd type="none" w="sm" len="sm"/>
                      </a:ln>
                    </wps:spPr>
                    <wps:txbx>
                      <w:txbxContent>
                        <w:p w14:paraId="5682130A" w14:textId="77777777" w:rsidR="00B92BA9" w:rsidRDefault="00B92BA9">
                          <w:pPr>
                            <w:spacing w:after="0" w:line="258" w:lineRule="auto"/>
                            <w:ind w:firstLine="720"/>
                            <w:textDirection w:val="btLr"/>
                          </w:pPr>
                        </w:p>
                        <w:p w14:paraId="57215C0B" w14:textId="77777777" w:rsidR="00B92BA9" w:rsidRDefault="001F3EA8">
                          <w:pPr>
                            <w:spacing w:after="0" w:line="258" w:lineRule="auto"/>
                            <w:textDirection w:val="btLr"/>
                          </w:pPr>
                          <w:r>
                            <w:rPr>
                              <w:rFonts w:ascii="Arial" w:eastAsia="Arial" w:hAnsi="Arial" w:cs="Arial"/>
                              <w:color w:val="000000"/>
                              <w:sz w:val="24"/>
                            </w:rPr>
                            <w:t>E-ISSN</w:t>
                          </w:r>
                          <w:r>
                            <w:rPr>
                              <w:rFonts w:ascii="Arial" w:eastAsia="Arial" w:hAnsi="Arial" w:cs="Arial"/>
                              <w:color w:val="000000"/>
                              <w:sz w:val="24"/>
                            </w:rPr>
                            <w:tab/>
                            <w:t>: 3032-7644</w:t>
                          </w:r>
                          <w:r>
                            <w:rPr>
                              <w:rFonts w:ascii="Arial" w:eastAsia="Arial" w:hAnsi="Arial" w:cs="Arial"/>
                              <w:color w:val="000000"/>
                              <w:sz w:val="24"/>
                            </w:rPr>
                            <w:tab/>
                          </w:r>
                        </w:p>
                        <w:p w14:paraId="35D5040A" w14:textId="77777777" w:rsidR="00B92BA9" w:rsidRDefault="001F3EA8">
                          <w:pPr>
                            <w:spacing w:after="0" w:line="258" w:lineRule="auto"/>
                            <w:textDirection w:val="btLr"/>
                          </w:pPr>
                          <w:r>
                            <w:rPr>
                              <w:rFonts w:ascii="Arial" w:eastAsia="Arial" w:hAnsi="Arial" w:cs="Arial"/>
                              <w:color w:val="FFFFFF"/>
                              <w:sz w:val="24"/>
                            </w:rPr>
                            <w:t>https://nawalaeducation.com/index.php/IJJ/</w:t>
                          </w:r>
                        </w:p>
                        <w:p w14:paraId="4808B8A4" w14:textId="77777777" w:rsidR="00B92BA9" w:rsidRDefault="00B92BA9">
                          <w:pPr>
                            <w:spacing w:after="0" w:line="258" w:lineRule="auto"/>
                            <w:textDirection w:val="btLr"/>
                          </w:pPr>
                        </w:p>
                        <w:p w14:paraId="11A05096" w14:textId="77777777" w:rsidR="00B92BA9" w:rsidRDefault="00B92BA9">
                          <w:pPr>
                            <w:spacing w:line="258" w:lineRule="auto"/>
                            <w:textDirection w:val="btLr"/>
                          </w:pPr>
                        </w:p>
                      </w:txbxContent>
                    </wps:txbx>
                    <wps:bodyPr spcFirstLastPara="1" wrap="square" lIns="91425" tIns="45700" rIns="91425" bIns="45700" anchor="t" anchorCtr="0">
                      <a:noAutofit/>
                    </wps:bodyPr>
                  </wps:wsp>
                </a:graphicData>
              </a:graphic>
            </wp:anchor>
          </w:drawing>
        </mc:Choice>
        <mc:Fallback>
          <w:pict>
            <v:rect w14:anchorId="48392D73" id="Rectangle 1576654508" o:spid="_x0000_s1029" style="position:absolute;margin-left:270pt;margin-top:-21pt;width:272.35pt;height:62.7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" fillcolor="#c00000">
              <v:stroke startarrowwidth="narrow" startarrowlength="short" endarrowwidth="narrow" endarrowlength="short"/>
              <v:textbox inset="2.53958mm,1.2694mm,2.53958mm,1.2694mm">
                <w:txbxContent>
                  <w:p w14:paraId="5682130A" w14:textId="77777777" w:rsidR="00B92BA9" w:rsidRDefault="00B92BA9">
                    <w:pPr>
                      <w:spacing w:after="0" w:line="258" w:lineRule="auto"/>
                      <w:ind w:firstLine="720"/>
                      <w:textDirection w:val="btLr"/>
                    </w:pPr>
                  </w:p>
                  <w:p w14:paraId="57215C0B" w14:textId="77777777" w:rsidR="00B92BA9" w:rsidRDefault="001F3EA8">
                    <w:pPr>
                      <w:spacing w:after="0" w:line="258" w:lineRule="auto"/>
                      <w:textDirection w:val="btLr"/>
                    </w:pPr>
                    <w:r>
                      <w:rPr>
                        <w:rFonts w:ascii="Arial" w:eastAsia="Arial" w:hAnsi="Arial" w:cs="Arial"/>
                        <w:color w:val="000000"/>
                        <w:sz w:val="24"/>
                      </w:rPr>
                      <w:t>E-ISSN</w:t>
                    </w:r>
                    <w:r>
                      <w:rPr>
                        <w:rFonts w:ascii="Arial" w:eastAsia="Arial" w:hAnsi="Arial" w:cs="Arial"/>
                        <w:color w:val="000000"/>
                        <w:sz w:val="24"/>
                      </w:rPr>
                      <w:tab/>
                      <w:t>: 3032-7644</w:t>
                    </w:r>
                    <w:r>
                      <w:rPr>
                        <w:rFonts w:ascii="Arial" w:eastAsia="Arial" w:hAnsi="Arial" w:cs="Arial"/>
                        <w:color w:val="000000"/>
                        <w:sz w:val="24"/>
                      </w:rPr>
                      <w:tab/>
                    </w:r>
                  </w:p>
                  <w:p w14:paraId="35D5040A" w14:textId="77777777" w:rsidR="00B92BA9" w:rsidRDefault="001F3EA8">
                    <w:pPr>
                      <w:spacing w:after="0" w:line="258" w:lineRule="auto"/>
                      <w:textDirection w:val="btLr"/>
                    </w:pPr>
                    <w:r>
                      <w:rPr>
                        <w:rFonts w:ascii="Arial" w:eastAsia="Arial" w:hAnsi="Arial" w:cs="Arial"/>
                        <w:color w:val="FFFFFF"/>
                        <w:sz w:val="24"/>
                      </w:rPr>
                      <w:t>https://nawalaeducation.com/index.php/IJJ/</w:t>
                    </w:r>
                  </w:p>
                  <w:p w14:paraId="4808B8A4" w14:textId="77777777" w:rsidR="00B92BA9" w:rsidRDefault="00B92BA9">
                    <w:pPr>
                      <w:spacing w:after="0" w:line="258" w:lineRule="auto"/>
                      <w:textDirection w:val="btLr"/>
                    </w:pPr>
                  </w:p>
                  <w:p w14:paraId="11A05096" w14:textId="77777777" w:rsidR="00B92BA9" w:rsidRDefault="00B92BA9">
                    <w:pPr>
                      <w:spacing w:line="258" w:lineRule="auto"/>
                      <w:textDirection w:val="btLr"/>
                    </w:pPr>
                  </w:p>
                </w:txbxContent>
              </v:textbox>
            </v:rect>
          </w:pict>
        </mc:Fallback>
      </mc:AlternateContent>
    </w:r>
    <w:r>
      <w:rPr>
        <w:noProof/>
      </w:rPr>
      <w:drawing>
        <wp:anchor distT="0" distB="0" distL="114300" distR="114300" simplePos="0" relativeHeight="251663360" behindDoc="0" locked="0" layoutInCell="1" hidden="0" allowOverlap="1" wp14:anchorId="68480C59" wp14:editId="2F0E989C">
          <wp:simplePos x="0" y="0"/>
          <wp:positionH relativeFrom="column">
            <wp:posOffset>-522603</wp:posOffset>
          </wp:positionH>
          <wp:positionV relativeFrom="paragraph">
            <wp:posOffset>-457197</wp:posOffset>
          </wp:positionV>
          <wp:extent cx="1609725" cy="1133475"/>
          <wp:effectExtent l="0" t="0" r="0" b="0"/>
          <wp:wrapTopAndBottom distT="0" distB="0"/>
          <wp:docPr id="1576654511" name="image2.png" descr="E:\ADMIN OF THE JOURNAL DWI\LOGO LOST\IPSO JURE JOURNAL.png"/>
          <wp:cNvGraphicFramePr/>
          <a:graphic xmlns:a="http://schemas.openxmlformats.org/drawingml/2006/main">
            <a:graphicData uri="http://schemas.openxmlformats.org/drawingml/2006/picture">
              <pic:pic xmlns:pic="http://schemas.openxmlformats.org/drawingml/2006/picture">
                <pic:nvPicPr>
                  <pic:cNvPr id="0" name="image2.png" descr="E:\ADMIN JURNAL DWI\LOGO NAWALA\IPSO JURE JOURNAL.png"/>
                  <pic:cNvPicPr preferRelativeResize="0"/>
                </pic:nvPicPr>
                <pic:blipFill>
                  <a:blip r:embed="rId3"/>
                  <a:srcRect l="20886" t="12902" r="16453" b="38294"/>
                  <a:stretch>
                    <a:fillRect/>
                  </a:stretch>
                </pic:blipFill>
                <pic:spPr>
                  <a:xfrm>
                    <a:off x="0" y="0"/>
                    <a:ext cx="1609725" cy="1133475"/>
                  </a:xfrm>
                  <a:prstGeom prst="rect">
                    <a:avLst/>
                  </a:prstGeom>
                  <a:ln/>
                </pic:spPr>
              </pic:pic>
            </a:graphicData>
          </a:graphic>
        </wp:anchor>
      </w:drawing>
    </w:r>
    <w:r>
      <w:rPr>
        <w:noProof/>
      </w:rPr>
      <mc:AlternateContent>
        <mc:Choice Requires="wps">
          <w:drawing>
            <wp:anchor distT="0" distB="0" distL="114300" distR="114300" simplePos="0" relativeHeight="251664384" behindDoc="0" locked="0" layoutInCell="1" hidden="0" allowOverlap="1" wp14:anchorId="5E017030" wp14:editId="7839C145">
              <wp:simplePos x="0" y="0"/>
              <wp:positionH relativeFrom="column">
                <wp:posOffset>-393699</wp:posOffset>
              </wp:positionH>
              <wp:positionV relativeFrom="paragraph">
                <wp:posOffset>723900</wp:posOffset>
              </wp:positionV>
              <wp:extent cx="0" cy="38100"/>
              <wp:effectExtent l="0" t="0" r="0" b="0"/>
              <wp:wrapNone/>
              <wp:docPr id="1576654505" name="Straight Arrow Connector 1576654505"/>
              <wp:cNvGraphicFramePr/>
              <a:graphic xmlns:a="http://schemas.openxmlformats.org/drawingml/2006/main">
                <a:graphicData uri="http://schemas.microsoft.com/office/word/2010/wordprocessingShape">
                  <wps:wsp>
                    <wps:cNvCnPr/>
                    <wps:spPr>
                      <a:xfrm>
                        <a:off x="1707018" y="3780000"/>
                        <a:ext cx="7277965" cy="0"/>
                      </a:xfrm>
                      <a:prstGeom prst="straightConnector1">
                        <a:avLst/>
                      </a:prstGeom>
                      <a:noFill/>
                      <a:ln w="38100" cap="flat" cmpd="sng">
                        <a:solidFill>
                          <a:srgbClr val="C00000"/>
                        </a:solidFill>
                        <a:prstDash val="solid"/>
                        <a:round/>
                        <a:headEnd type="none" w="sm" len="sm"/>
                        <a:tailEnd type="none" w="sm" len="sm"/>
                      </a:ln>
                    </wps:spPr>
                    <wps:bodyPr/>
                  </wps:wsp>
                </a:graphicData>
              </a:graphic>
            </wp:anchor>
          </w:drawing>
        </mc:Choice>
        <mc:Fallback xmlns:pic="http://schemas.openxmlformats.org/drawingml/2006/picture" xmlns:a="http://schemas.openxmlformats.org/drawingml/2006/main">
          <w:pict>
            <v:shapetype id="_x0000_t32" coordsize="21600,21600" o:oned="t" filled="f" o:spt="32" path="m,l21600,21600e" w14:anchorId="50628110">
              <v:path fillok="f" arrowok="t" o:connecttype="none"/>
              <o:lock v:ext="edit" shapetype="t"/>
            </v:shapetype>
            <v:shape id="Straight Arrow Connector 1576654505" style="position:absolute;margin-left:-31pt;margin-top:57pt;width:0;height:3pt;z-index:251664384;visibility:visible;mso-wrap-style:square;mso-wrap-distance-left:9pt;mso-wrap-distance-top:0;mso-wrap-distance-right:9pt;mso-wrap-distance-bottom:0;mso-position-horizontal:absolute;mso-position-horizontal-relative:text;mso-position-vertical:absolute;mso-position-vertical-relative:text" o:spid="_x0000_s1026" strokecolor="#c00000" strokeweight="3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">
              <v:stroke startarrowwidth="narrow" startarrowlength="short" endarrowwidth="narrow" endarrowlength="short"/>
            </v:shape>
          </w:pict>
        </mc:Fallback>
      </mc:AlternateContent>
    </w:r>
  </w:p>
  <w:p w14:paraId="16D50C4E" w14:textId="77777777" w:rsidR="00B92BA9" w:rsidRDefault="001F3EA8">
    <w:pPr>
      <w:pBdr>
        <w:top w:val="nil"/>
        <w:left w:val="nil"/>
        <w:bottom w:val="nil"/>
        <w:right w:val="nil"/>
        <w:between w:val="nil"/>
      </w:pBdr>
      <w:tabs>
        <w:tab w:val="center" w:pos="4680"/>
        <w:tab w:val="right" w:pos="9360"/>
      </w:tabs>
      <w:spacing w:after="0" w:line="240" w:lineRule="auto"/>
      <w:rPr>
        <w:color w:val="000000"/>
      </w:rPr>
    </w:pPr>
    <w:r>
      <w:rPr>
        <w:noProof/>
      </w:rPr>
      <mc:AlternateContent>
        <mc:Choice Requires="wps">
          <w:drawing>
            <wp:anchor distT="0" distB="0" distL="114300" distR="114300" simplePos="0" relativeHeight="251665408" behindDoc="0" locked="0" layoutInCell="1" hidden="0" allowOverlap="1" wp14:anchorId="5AB85A1E" wp14:editId="6D661A05">
              <wp:simplePos x="0" y="0"/>
              <wp:positionH relativeFrom="column">
                <wp:posOffset>-215899</wp:posOffset>
              </wp:positionH>
              <wp:positionV relativeFrom="paragraph">
                <wp:posOffset>165100</wp:posOffset>
              </wp:positionV>
              <wp:extent cx="0" cy="38100"/>
              <wp:effectExtent l="0" t="0" r="0" b="0"/>
              <wp:wrapNone/>
              <wp:docPr id="1576654506" name="Straight Arrow Connector 1576654506"/>
              <wp:cNvGraphicFramePr/>
              <a:graphic xmlns:a="http://schemas.openxmlformats.org/drawingml/2006/main">
                <a:graphicData uri="http://schemas.microsoft.com/office/word/2010/wordprocessingShape">
                  <wps:wsp>
                    <wps:cNvCnPr/>
                    <wps:spPr>
                      <a:xfrm>
                        <a:off x="1788413" y="3780000"/>
                        <a:ext cx="7115175" cy="0"/>
                      </a:xfrm>
                      <a:prstGeom prst="straightConnector1">
                        <a:avLst/>
                      </a:prstGeom>
                      <a:noFill/>
                      <a:ln w="38100" cap="flat" cmpd="sng">
                        <a:solidFill>
                          <a:srgbClr val="C00000"/>
                        </a:solidFill>
                        <a:prstDash val="solid"/>
                        <a:round/>
                        <a:headEnd type="none" w="sm" len="sm"/>
                        <a:tailEnd type="none" w="sm" len="sm"/>
                      </a:ln>
                    </wps:spPr>
                    <wps:bodyPr/>
                  </wps:wsp>
                </a:graphicData>
              </a:graphic>
            </wp:anchor>
          </w:drawing>
        </mc:Choice>
        <mc:Fallback xmlns:pic="http://schemas.openxmlformats.org/drawingml/2006/picture" xmlns:a="http://schemas.openxmlformats.org/drawingml/2006/main">
          <w:pict>
            <v:shape id="Straight Arrow Connector 1576654506" style="position:absolute;margin-left:-17pt;margin-top:13pt;width:0;height:3pt;z-index:251665408;visibility:visible;mso-wrap-style:square;mso-wrap-distance-left:9pt;mso-wrap-distance-top:0;mso-wrap-distance-right:9pt;mso-wrap-distance-bottom:0;mso-position-horizontal:absolute;mso-position-horizontal-relative:text;mso-position-vertical:absolute;mso-position-vertical-relative:text" o:spid="_x0000_s1026" strokecolor="#c00000" strokeweight="3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" w14:anchorId="5ECBAF7D">
              <v:stroke startarrowwidth="narrow" startarrowlength="short" endarrowwidth="narrow" endarrowlength="short"/>
            </v:shape>
          </w:pict>
        </mc:Fallback>
      </mc:AlternateContent>
    </w:r>
  </w:p>
  <w:p w14:paraId="0645BADF" w14:textId="77777777" w:rsidR="00B92BA9" w:rsidRDefault="00B92BA9">
    <w:pPr>
      <w:pBdr>
        <w:top w:val="nil"/>
        <w:left w:val="nil"/>
        <w:bottom w:val="nil"/>
        <w:right w:val="nil"/>
        <w:between w:val="nil"/>
      </w:pBdr>
      <w:tabs>
        <w:tab w:val="center" w:pos="4680"/>
        <w:tab w:val="right" w:pos="9360"/>
      </w:tabs>
      <w:spacing w:after="0" w:line="240" w:lineRule="auto"/>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793C"/>
    <w:rsid w:val="00010E55"/>
    <w:rsid w:val="00065AF0"/>
    <w:rsid w:val="0009793C"/>
    <w:rsid w:val="000F40A2"/>
    <w:rsid w:val="000F70BA"/>
    <w:rsid w:val="001436D8"/>
    <w:rsid w:val="00170D2B"/>
    <w:rsid w:val="001F23FB"/>
    <w:rsid w:val="001F3EA8"/>
    <w:rsid w:val="002047B0"/>
    <w:rsid w:val="00205054"/>
    <w:rsid w:val="00214C19"/>
    <w:rsid w:val="0028411A"/>
    <w:rsid w:val="00337A1B"/>
    <w:rsid w:val="0037051B"/>
    <w:rsid w:val="003B72F4"/>
    <w:rsid w:val="00413915"/>
    <w:rsid w:val="00441B4D"/>
    <w:rsid w:val="00455C43"/>
    <w:rsid w:val="00552022"/>
    <w:rsid w:val="00571B34"/>
    <w:rsid w:val="005B33DF"/>
    <w:rsid w:val="00675EAD"/>
    <w:rsid w:val="0068090F"/>
    <w:rsid w:val="006C17E9"/>
    <w:rsid w:val="006E71E9"/>
    <w:rsid w:val="0071520D"/>
    <w:rsid w:val="00755805"/>
    <w:rsid w:val="00765FAD"/>
    <w:rsid w:val="008B7835"/>
    <w:rsid w:val="008E6210"/>
    <w:rsid w:val="009B65AC"/>
    <w:rsid w:val="00A46596"/>
    <w:rsid w:val="00A55947"/>
    <w:rsid w:val="00A907D5"/>
    <w:rsid w:val="00A938B7"/>
    <w:rsid w:val="00B2546F"/>
    <w:rsid w:val="00B32CB1"/>
    <w:rsid w:val="00B460D9"/>
    <w:rsid w:val="00B47431"/>
    <w:rsid w:val="00B92BA9"/>
    <w:rsid w:val="00BE2169"/>
    <w:rsid w:val="00C34D4C"/>
    <w:rsid w:val="00C47D7D"/>
    <w:rsid w:val="00C52803"/>
    <w:rsid w:val="00CF1BD7"/>
    <w:rsid w:val="00D74B89"/>
    <w:rsid w:val="00DE264C"/>
    <w:rsid w:val="00E01729"/>
    <w:rsid w:val="00E23A0E"/>
    <w:rsid w:val="00F469FB"/>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986209"/>
  <w15:chartTrackingRefBased/>
  <w15:docId w15:val="{A65FB788-DB00-48AF-8D1E-13518867A2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793C"/>
    <w:rPr>
      <w:rFonts w:ascii="Calibri" w:eastAsia="Calibri" w:hAnsi="Calibri" w:cs="Calibri"/>
      <w:lang w:eastAsia="en-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uiPriority w:val="99"/>
    <w:semiHidden/>
    <w:unhideWhenUsed/>
    <w:rsid w:val="0009793C"/>
    <w:rPr>
      <w:vertAlign w:val="superscript"/>
    </w:rPr>
  </w:style>
  <w:style w:type="paragraph" w:styleId="Header">
    <w:name w:val="header"/>
    <w:basedOn w:val="Normal"/>
    <w:link w:val="HeaderChar"/>
    <w:uiPriority w:val="99"/>
    <w:unhideWhenUsed/>
    <w:rsid w:val="002047B0"/>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47B0"/>
    <w:rPr>
      <w:rFonts w:ascii="Calibri" w:eastAsia="Calibri" w:hAnsi="Calibri" w:cs="Calibri"/>
      <w:lang w:eastAsia="en-ID"/>
    </w:rPr>
  </w:style>
  <w:style w:type="paragraph" w:styleId="Footer">
    <w:name w:val="footer"/>
    <w:basedOn w:val="Normal"/>
    <w:link w:val="FooterChar"/>
    <w:uiPriority w:val="99"/>
    <w:unhideWhenUsed/>
    <w:rsid w:val="002047B0"/>
    <w:pPr>
      <w:tabs>
        <w:tab w:val="center" w:pos="4513"/>
        <w:tab w:val="right" w:pos="9026"/>
      </w:tabs>
      <w:spacing w:after="0" w:line="240" w:lineRule="auto"/>
    </w:pPr>
  </w:style>
  <w:style w:type="character" w:customStyle="1" w:styleId="FooterChar">
    <w:name w:val="Footer Char"/>
    <w:basedOn w:val="DefaultParagraphFont"/>
    <w:link w:val="Footer"/>
    <w:uiPriority w:val="99"/>
    <w:rsid w:val="002047B0"/>
    <w:rPr>
      <w:rFonts w:ascii="Calibri" w:eastAsia="Calibri" w:hAnsi="Calibri" w:cs="Calibri"/>
      <w:lang w:eastAsia="en-ID"/>
    </w:rPr>
  </w:style>
  <w:style w:type="paragraph" w:styleId="FootnoteText">
    <w:name w:val="footnote text"/>
    <w:basedOn w:val="Normal"/>
    <w:link w:val="FootnoteTextChar"/>
    <w:uiPriority w:val="99"/>
    <w:semiHidden/>
    <w:unhideWhenUsed/>
    <w:rsid w:val="00C5280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52803"/>
    <w:rPr>
      <w:rFonts w:ascii="Calibri" w:eastAsia="Calibri" w:hAnsi="Calibri" w:cs="Calibri"/>
      <w:sz w:val="20"/>
      <w:szCs w:val="20"/>
      <w:lang w:eastAsia="en-ID"/>
    </w:rPr>
  </w:style>
  <w:style w:type="character" w:styleId="PlaceholderText">
    <w:name w:val="Placeholder Text"/>
    <w:basedOn w:val="DefaultParagraphFont"/>
    <w:uiPriority w:val="99"/>
    <w:semiHidden/>
    <w:rsid w:val="005B33DF"/>
    <w:rPr>
      <w:color w:val="666666"/>
    </w:rPr>
  </w:style>
  <w:style w:type="character" w:styleId="Hyperlink">
    <w:name w:val="Hyperlink"/>
    <w:basedOn w:val="DefaultParagraphFont"/>
    <w:uiPriority w:val="99"/>
    <w:unhideWhenUsed/>
    <w:rsid w:val="00A55947"/>
    <w:rPr>
      <w:color w:val="0563C1" w:themeColor="hyperlink"/>
      <w:u w:val="single"/>
    </w:rPr>
  </w:style>
  <w:style w:type="character" w:styleId="UnresolvedMention">
    <w:name w:val="Unresolved Mention"/>
    <w:basedOn w:val="DefaultParagraphFont"/>
    <w:uiPriority w:val="99"/>
    <w:semiHidden/>
    <w:unhideWhenUsed/>
    <w:rsid w:val="00A55947"/>
    <w:rPr>
      <w:color w:val="605E5C"/>
      <w:shd w:val="clear" w:color="auto" w:fill="E1DFDD"/>
    </w:rPr>
  </w:style>
  <w:style w:type="character" w:styleId="CommentReference">
    <w:name w:val="annotation reference"/>
    <w:basedOn w:val="DefaultParagraphFont"/>
    <w:uiPriority w:val="99"/>
    <w:semiHidden/>
    <w:unhideWhenUsed/>
    <w:rsid w:val="00675EAD"/>
    <w:rPr>
      <w:sz w:val="16"/>
      <w:szCs w:val="16"/>
    </w:rPr>
  </w:style>
  <w:style w:type="paragraph" w:styleId="CommentText">
    <w:name w:val="annotation text"/>
    <w:basedOn w:val="Normal"/>
    <w:link w:val="CommentTextChar"/>
    <w:uiPriority w:val="99"/>
    <w:unhideWhenUsed/>
    <w:rsid w:val="00675EAD"/>
    <w:pPr>
      <w:spacing w:line="240" w:lineRule="auto"/>
    </w:pPr>
    <w:rPr>
      <w:sz w:val="20"/>
      <w:szCs w:val="20"/>
    </w:rPr>
  </w:style>
  <w:style w:type="character" w:customStyle="1" w:styleId="CommentTextChar">
    <w:name w:val="Comment Text Char"/>
    <w:basedOn w:val="DefaultParagraphFont"/>
    <w:link w:val="CommentText"/>
    <w:uiPriority w:val="99"/>
    <w:rsid w:val="00675EAD"/>
    <w:rPr>
      <w:rFonts w:ascii="Calibri" w:eastAsia="Calibri" w:hAnsi="Calibri" w:cs="Calibri"/>
      <w:sz w:val="20"/>
      <w:szCs w:val="20"/>
      <w:lang w:eastAsia="en-ID"/>
    </w:rPr>
  </w:style>
  <w:style w:type="paragraph" w:styleId="CommentSubject">
    <w:name w:val="annotation subject"/>
    <w:basedOn w:val="CommentText"/>
    <w:next w:val="CommentText"/>
    <w:link w:val="CommentSubjectChar"/>
    <w:uiPriority w:val="99"/>
    <w:semiHidden/>
    <w:unhideWhenUsed/>
    <w:rsid w:val="00675EAD"/>
    <w:rPr>
      <w:b/>
      <w:bCs/>
    </w:rPr>
  </w:style>
  <w:style w:type="character" w:customStyle="1" w:styleId="CommentSubjectChar">
    <w:name w:val="Comment Subject Char"/>
    <w:basedOn w:val="CommentTextChar"/>
    <w:link w:val="CommentSubject"/>
    <w:uiPriority w:val="99"/>
    <w:semiHidden/>
    <w:rsid w:val="00675EAD"/>
    <w:rPr>
      <w:rFonts w:ascii="Calibri" w:eastAsia="Calibri" w:hAnsi="Calibri" w:cs="Calibri"/>
      <w:b/>
      <w:bCs/>
      <w:sz w:val="20"/>
      <w:szCs w:val="20"/>
      <w:lang w:eastAsia="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hyperlink" Target="https://doi.org/10.62872/d4frhb17" TargetMode="External"/><Relationship Id="rId1" Type="http://schemas.openxmlformats.org/officeDocument/2006/relationships/hyperlink" Target="https://doi.org/10.62872/d4frhb1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8C8552-E09E-4533-92CD-0B18CFCFAF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11</Pages>
  <Words>3352</Words>
  <Characters>19112</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Inventaris UNIPER</dc:creator>
  <cp:keywords/>
  <dc:description/>
  <cp:lastModifiedBy>ASUS NOTEBOOK</cp:lastModifiedBy>
  <cp:revision>4</cp:revision>
  <dcterms:created xsi:type="dcterms:W3CDTF">2026-08-18T08:29:00Z</dcterms:created>
  <dcterms:modified xsi:type="dcterms:W3CDTF">2026-08-24T08:41:00Z</dcterms:modified>
</cp:coreProperties>
</file>