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0ABF4" w14:textId="67A39484" w:rsidR="006E71E9" w:rsidRPr="006E71E9" w:rsidRDefault="002D63F8" w:rsidP="006E71E9">
      <w:pPr>
        <w:jc w:val="center"/>
        <w:rPr>
          <w:rFonts w:ascii="Times New Roman" w:hAnsi="Times New Roman" w:cs="Times New Roman"/>
          <w:b/>
          <w:bCs/>
          <w:i/>
          <w:iCs/>
          <w:sz w:val="28"/>
          <w:szCs w:val="28"/>
        </w:rPr>
      </w:pPr>
      <w:r w:rsidRPr="002D63F8">
        <w:rPr>
          <w:rFonts w:ascii="Times New Roman" w:hAnsi="Times New Roman" w:cs="Times New Roman"/>
          <w:b/>
          <w:bCs/>
          <w:i/>
          <w:iCs/>
          <w:sz w:val="28"/>
          <w:szCs w:val="28"/>
        </w:rPr>
        <w:t>INTERNATIONAL INVESTMENT ARBITRATION: INVESTOR PROTECTION MECHANISMS AND STATE SOVEREIGNTY</w:t>
      </w:r>
    </w:p>
    <w:p w14:paraId="3E7C61E1" w14:textId="57E6738A" w:rsidR="002D63F8" w:rsidRDefault="005A60A4" w:rsidP="005A60A4">
      <w:pPr>
        <w:spacing w:after="0" w:line="240" w:lineRule="auto"/>
        <w:rPr>
          <w:rFonts w:ascii="Times New Roman" w:eastAsia="Times New Roman" w:hAnsi="Times New Roman" w:cs="Times New Roman"/>
          <w:color w:val="000000"/>
          <w:sz w:val="20"/>
          <w:szCs w:val="20"/>
          <w:vertAlign w:val="superscript"/>
          <w:lang w:val="fi-FI"/>
        </w:rPr>
      </w:pPr>
      <w:r w:rsidRPr="005A60A4">
        <w:rPr>
          <w:rFonts w:ascii="Times New Roman" w:eastAsia="Times New Roman" w:hAnsi="Times New Roman" w:cs="Times New Roman"/>
          <w:color w:val="000000"/>
          <w:sz w:val="20"/>
          <w:szCs w:val="20"/>
          <w:lang w:val="fi-FI"/>
        </w:rPr>
        <w:t>Reyhan Novandra</w:t>
      </w:r>
      <w:r w:rsidRPr="005A60A4">
        <w:rPr>
          <w:rFonts w:ascii="Times New Roman" w:eastAsia="Times New Roman" w:hAnsi="Times New Roman" w:cs="Times New Roman"/>
          <w:color w:val="000000"/>
          <w:sz w:val="20"/>
          <w:szCs w:val="20"/>
          <w:vertAlign w:val="superscript"/>
          <w:lang w:val="fi-FI"/>
        </w:rPr>
        <w:t>1</w:t>
      </w:r>
      <w:r w:rsidRPr="005A60A4">
        <w:rPr>
          <w:rFonts w:ascii="Times New Roman" w:eastAsia="Times New Roman" w:hAnsi="Times New Roman" w:cs="Times New Roman"/>
          <w:color w:val="000000"/>
          <w:sz w:val="20"/>
          <w:szCs w:val="20"/>
          <w:lang w:val="fi-FI"/>
        </w:rPr>
        <w:t>, Rahmianti Ranti Pawari</w:t>
      </w:r>
      <w:r w:rsidRPr="005A60A4">
        <w:rPr>
          <w:rFonts w:ascii="Times New Roman" w:eastAsia="Times New Roman" w:hAnsi="Times New Roman" w:cs="Times New Roman"/>
          <w:color w:val="000000"/>
          <w:sz w:val="20"/>
          <w:szCs w:val="20"/>
          <w:vertAlign w:val="superscript"/>
          <w:lang w:val="fi-FI"/>
        </w:rPr>
        <w:t>2</w:t>
      </w:r>
      <w:r>
        <w:rPr>
          <w:rFonts w:ascii="Times New Roman" w:eastAsia="Times New Roman" w:hAnsi="Times New Roman" w:cs="Times New Roman"/>
          <w:color w:val="000000"/>
          <w:sz w:val="20"/>
          <w:szCs w:val="20"/>
          <w:lang w:val="fi-FI"/>
        </w:rPr>
        <w:t xml:space="preserve">, </w:t>
      </w:r>
      <w:r w:rsidRPr="005A60A4">
        <w:rPr>
          <w:rFonts w:ascii="Times New Roman" w:eastAsia="Times New Roman" w:hAnsi="Times New Roman" w:cs="Times New Roman"/>
          <w:color w:val="000000"/>
          <w:sz w:val="20"/>
          <w:szCs w:val="20"/>
          <w:lang w:val="fi-FI"/>
        </w:rPr>
        <w:t>Cik Marhayani</w:t>
      </w:r>
      <w:r w:rsidRPr="005A60A4">
        <w:rPr>
          <w:rFonts w:ascii="Times New Roman" w:eastAsia="Times New Roman" w:hAnsi="Times New Roman" w:cs="Times New Roman"/>
          <w:color w:val="000000"/>
          <w:sz w:val="20"/>
          <w:szCs w:val="20"/>
          <w:vertAlign w:val="superscript"/>
          <w:lang w:val="fi-FI"/>
        </w:rPr>
        <w:t>3</w:t>
      </w:r>
    </w:p>
    <w:p w14:paraId="7C3DEE07" w14:textId="77777777" w:rsidR="005A60A4" w:rsidRPr="005A60A4" w:rsidRDefault="005A60A4" w:rsidP="005A60A4">
      <w:pPr>
        <w:spacing w:after="0" w:line="240" w:lineRule="auto"/>
        <w:rPr>
          <w:rFonts w:ascii="Times New Roman" w:eastAsia="Times New Roman" w:hAnsi="Times New Roman" w:cs="Times New Roman"/>
          <w:color w:val="000000"/>
          <w:sz w:val="20"/>
          <w:szCs w:val="20"/>
          <w:lang w:val="fi-FI"/>
        </w:rPr>
      </w:pPr>
    </w:p>
    <w:p w14:paraId="3650FEE8" w14:textId="72E00431" w:rsidR="005A60A4" w:rsidRPr="00065AF0" w:rsidRDefault="005A60A4" w:rsidP="005A60A4">
      <w:pPr>
        <w:spacing w:after="0" w:line="240" w:lineRule="auto"/>
        <w:rPr>
          <w:rFonts w:ascii="Times New Roman" w:eastAsia="Times New Roman" w:hAnsi="Times New Roman" w:cs="Times New Roman"/>
          <w:sz w:val="20"/>
          <w:szCs w:val="20"/>
        </w:rPr>
      </w:pPr>
      <w:r w:rsidRPr="00065AF0">
        <w:rPr>
          <w:rFonts w:ascii="Times New Roman" w:eastAsia="Times New Roman" w:hAnsi="Times New Roman" w:cs="Times New Roman"/>
          <w:sz w:val="20"/>
          <w:szCs w:val="20"/>
          <w:vertAlign w:val="superscript"/>
        </w:rPr>
        <w:t>1</w:t>
      </w:r>
      <w:r w:rsidR="004A2B68">
        <w:rPr>
          <w:rFonts w:ascii="Times New Roman" w:eastAsia="Times New Roman" w:hAnsi="Times New Roman" w:cs="Times New Roman"/>
          <w:sz w:val="20"/>
          <w:szCs w:val="20"/>
        </w:rPr>
        <w:t>L</w:t>
      </w:r>
      <w:r w:rsidRPr="00065AF0">
        <w:rPr>
          <w:rFonts w:ascii="Times New Roman" w:eastAsia="Times New Roman" w:hAnsi="Times New Roman" w:cs="Times New Roman"/>
          <w:sz w:val="20"/>
          <w:szCs w:val="20"/>
        </w:rPr>
        <w:t xml:space="preserve">aw </w:t>
      </w:r>
      <w:r w:rsidR="004A2B68">
        <w:rPr>
          <w:rFonts w:ascii="Times New Roman" w:eastAsia="Times New Roman" w:hAnsi="Times New Roman" w:cs="Times New Roman"/>
          <w:sz w:val="20"/>
          <w:szCs w:val="20"/>
        </w:rPr>
        <w:t>S</w:t>
      </w:r>
      <w:r w:rsidRPr="00065AF0">
        <w:rPr>
          <w:rFonts w:ascii="Times New Roman" w:eastAsia="Times New Roman" w:hAnsi="Times New Roman" w:cs="Times New Roman"/>
          <w:sz w:val="20"/>
          <w:szCs w:val="20"/>
        </w:rPr>
        <w:t xml:space="preserve">tudent at </w:t>
      </w:r>
      <w:proofErr w:type="spellStart"/>
      <w:r w:rsidRPr="00065AF0">
        <w:rPr>
          <w:rFonts w:ascii="Times New Roman" w:eastAsia="Times New Roman" w:hAnsi="Times New Roman" w:cs="Times New Roman"/>
          <w:sz w:val="20"/>
          <w:szCs w:val="20"/>
        </w:rPr>
        <w:t>Pertiba</w:t>
      </w:r>
      <w:proofErr w:type="spellEnd"/>
      <w:r w:rsidRPr="00065AF0">
        <w:rPr>
          <w:rFonts w:ascii="Times New Roman" w:eastAsia="Times New Roman" w:hAnsi="Times New Roman" w:cs="Times New Roman"/>
          <w:sz w:val="20"/>
          <w:szCs w:val="20"/>
        </w:rPr>
        <w:t xml:space="preserve"> University</w:t>
      </w:r>
    </w:p>
    <w:p w14:paraId="5C4FDA3A" w14:textId="087F8758" w:rsidR="005A60A4" w:rsidRPr="00065AF0" w:rsidRDefault="005A60A4" w:rsidP="005A60A4">
      <w:pPr>
        <w:spacing w:after="0" w:line="240" w:lineRule="auto"/>
        <w:rPr>
          <w:rFonts w:ascii="Times New Roman" w:eastAsia="Times New Roman" w:hAnsi="Times New Roman" w:cs="Times New Roman"/>
          <w:sz w:val="20"/>
          <w:szCs w:val="20"/>
          <w:vertAlign w:val="superscript"/>
        </w:rPr>
      </w:pPr>
      <w:r w:rsidRPr="00065AF0">
        <w:rPr>
          <w:rFonts w:ascii="Times New Roman" w:eastAsia="Times New Roman" w:hAnsi="Times New Roman" w:cs="Times New Roman"/>
          <w:sz w:val="20"/>
          <w:szCs w:val="20"/>
          <w:vertAlign w:val="superscript"/>
        </w:rPr>
        <w:t>2</w:t>
      </w:r>
      <w:r w:rsidR="004A2B68">
        <w:rPr>
          <w:rFonts w:ascii="Times New Roman" w:eastAsia="Times New Roman" w:hAnsi="Times New Roman" w:cs="Times New Roman"/>
          <w:sz w:val="20"/>
          <w:szCs w:val="20"/>
          <w:lang w:val="en-US"/>
        </w:rPr>
        <w:t>L</w:t>
      </w:r>
      <w:r w:rsidRPr="00065AF0">
        <w:rPr>
          <w:rFonts w:ascii="Times New Roman" w:eastAsia="Times New Roman" w:hAnsi="Times New Roman" w:cs="Times New Roman"/>
          <w:sz w:val="20"/>
          <w:szCs w:val="20"/>
          <w:lang w:val="en-US"/>
        </w:rPr>
        <w:t xml:space="preserve">ecturer at </w:t>
      </w:r>
      <w:r w:rsidR="00213FAF">
        <w:rPr>
          <w:rFonts w:ascii="Times New Roman" w:eastAsia="Times New Roman" w:hAnsi="Times New Roman" w:cs="Times New Roman"/>
          <w:sz w:val="20"/>
          <w:szCs w:val="20"/>
          <w:lang w:val="en-US"/>
        </w:rPr>
        <w:t>t</w:t>
      </w:r>
      <w:r w:rsidRPr="00065AF0">
        <w:rPr>
          <w:rFonts w:ascii="Times New Roman" w:eastAsia="Times New Roman" w:hAnsi="Times New Roman" w:cs="Times New Roman"/>
          <w:sz w:val="20"/>
          <w:szCs w:val="20"/>
          <w:lang w:val="en-US"/>
        </w:rPr>
        <w:t xml:space="preserve">he Faculty of Law, </w:t>
      </w:r>
      <w:proofErr w:type="spellStart"/>
      <w:r w:rsidRPr="00065AF0">
        <w:rPr>
          <w:rFonts w:ascii="Times New Roman" w:eastAsia="Times New Roman" w:hAnsi="Times New Roman" w:cs="Times New Roman"/>
          <w:sz w:val="20"/>
          <w:szCs w:val="20"/>
          <w:lang w:val="en-US"/>
        </w:rPr>
        <w:t>Pertiba</w:t>
      </w:r>
      <w:proofErr w:type="spellEnd"/>
      <w:r w:rsidRPr="00065AF0">
        <w:rPr>
          <w:rFonts w:ascii="Times New Roman" w:eastAsia="Times New Roman" w:hAnsi="Times New Roman" w:cs="Times New Roman"/>
          <w:sz w:val="20"/>
          <w:szCs w:val="20"/>
          <w:lang w:val="en-US"/>
        </w:rPr>
        <w:t xml:space="preserve"> University</w:t>
      </w:r>
      <w:r w:rsidRPr="00065AF0">
        <w:rPr>
          <w:rFonts w:ascii="Times New Roman" w:eastAsia="Times New Roman" w:hAnsi="Times New Roman" w:cs="Times New Roman"/>
          <w:sz w:val="20"/>
          <w:szCs w:val="20"/>
          <w:vertAlign w:val="superscript"/>
        </w:rPr>
        <w:t xml:space="preserve"> </w:t>
      </w:r>
    </w:p>
    <w:p w14:paraId="17BDFDE5" w14:textId="552ED22A" w:rsidR="0009793C" w:rsidRPr="005A60A4" w:rsidRDefault="005A60A4" w:rsidP="005A60A4">
      <w:pPr>
        <w:spacing w:after="0" w:line="240" w:lineRule="auto"/>
        <w:rPr>
          <w:rFonts w:ascii="Times New Roman" w:eastAsia="Times New Roman" w:hAnsi="Times New Roman" w:cs="Times New Roman"/>
          <w:i/>
          <w:sz w:val="20"/>
          <w:szCs w:val="20"/>
        </w:rPr>
      </w:pPr>
      <w:r w:rsidRPr="00065AF0">
        <w:rPr>
          <w:rFonts w:ascii="Times New Roman" w:eastAsia="Times New Roman" w:hAnsi="Times New Roman" w:cs="Times New Roman"/>
          <w:sz w:val="20"/>
          <w:szCs w:val="20"/>
          <w:vertAlign w:val="superscript"/>
        </w:rPr>
        <w:t>3</w:t>
      </w:r>
      <w:r w:rsidR="004A2B68">
        <w:rPr>
          <w:rFonts w:ascii="Times New Roman" w:eastAsia="Times New Roman" w:hAnsi="Times New Roman" w:cs="Times New Roman"/>
          <w:sz w:val="20"/>
          <w:szCs w:val="20"/>
          <w:lang w:val="en-US"/>
        </w:rPr>
        <w:t>L</w:t>
      </w:r>
      <w:r w:rsidRPr="00065AF0">
        <w:rPr>
          <w:rFonts w:ascii="Times New Roman" w:eastAsia="Times New Roman" w:hAnsi="Times New Roman" w:cs="Times New Roman"/>
          <w:sz w:val="20"/>
          <w:szCs w:val="20"/>
          <w:lang w:val="en-US"/>
        </w:rPr>
        <w:t xml:space="preserve">ecturer at </w:t>
      </w:r>
      <w:r w:rsidR="00213FAF">
        <w:rPr>
          <w:rFonts w:ascii="Times New Roman" w:eastAsia="Times New Roman" w:hAnsi="Times New Roman" w:cs="Times New Roman"/>
          <w:sz w:val="20"/>
          <w:szCs w:val="20"/>
          <w:lang w:val="en-US"/>
        </w:rPr>
        <w:t>t</w:t>
      </w:r>
      <w:r w:rsidRPr="00065AF0">
        <w:rPr>
          <w:rFonts w:ascii="Times New Roman" w:eastAsia="Times New Roman" w:hAnsi="Times New Roman" w:cs="Times New Roman"/>
          <w:sz w:val="20"/>
          <w:szCs w:val="20"/>
          <w:lang w:val="en-US"/>
        </w:rPr>
        <w:t xml:space="preserve">he Faculty of Law, </w:t>
      </w:r>
      <w:proofErr w:type="spellStart"/>
      <w:r w:rsidRPr="00065AF0">
        <w:rPr>
          <w:rFonts w:ascii="Times New Roman" w:eastAsia="Times New Roman" w:hAnsi="Times New Roman" w:cs="Times New Roman"/>
          <w:sz w:val="20"/>
          <w:szCs w:val="20"/>
          <w:lang w:val="en-US"/>
        </w:rPr>
        <w:t>Pertiba</w:t>
      </w:r>
      <w:proofErr w:type="spellEnd"/>
      <w:r w:rsidRPr="00065AF0">
        <w:rPr>
          <w:rFonts w:ascii="Times New Roman" w:eastAsia="Times New Roman" w:hAnsi="Times New Roman" w:cs="Times New Roman"/>
          <w:sz w:val="20"/>
          <w:szCs w:val="20"/>
          <w:lang w:val="en-US"/>
        </w:rPr>
        <w:t xml:space="preserve"> University</w:t>
      </w:r>
    </w:p>
    <w:p w14:paraId="6EC1FB14" w14:textId="77777777" w:rsidR="002047B0" w:rsidRPr="002047B0" w:rsidRDefault="002047B0" w:rsidP="002047B0">
      <w:pPr>
        <w:spacing w:after="0" w:line="240" w:lineRule="auto"/>
        <w:rPr>
          <w:rFonts w:ascii="Times New Roman" w:eastAsia="Times New Roman" w:hAnsi="Times New Roman" w:cs="Times New Roman"/>
          <w:sz w:val="20"/>
          <w:szCs w:val="20"/>
        </w:rPr>
      </w:pPr>
    </w:p>
    <w:tbl>
      <w:tblPr>
        <w:tblW w:w="9016" w:type="dxa"/>
        <w:tblInd w:w="-108"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3227"/>
        <w:gridCol w:w="5789"/>
      </w:tblGrid>
      <w:tr w:rsidR="0009793C" w14:paraId="4E09141E" w14:textId="77777777" w:rsidTr="00A55947">
        <w:tc>
          <w:tcPr>
            <w:tcW w:w="3227" w:type="dxa"/>
          </w:tcPr>
          <w:p w14:paraId="22CA13A5" w14:textId="46890441" w:rsidR="0009793C" w:rsidRDefault="0009793C" w:rsidP="005A60A4">
            <w:pPr>
              <w:spacing w:after="0"/>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Received:</w:t>
            </w:r>
            <w:r w:rsidR="00735EC0">
              <w:rPr>
                <w:rFonts w:ascii="Times New Roman" w:eastAsia="Times New Roman" w:hAnsi="Times New Roman" w:cs="Times New Roman"/>
                <w:color w:val="000000"/>
                <w:sz w:val="20"/>
                <w:szCs w:val="20"/>
              </w:rPr>
              <w:t xml:space="preserve"> August 15, 2026</w:t>
            </w:r>
          </w:p>
          <w:p w14:paraId="3D6071A4" w14:textId="1B5131FB" w:rsidR="0009793C" w:rsidRDefault="0009793C" w:rsidP="005A60A4">
            <w:pPr>
              <w:spacing w:after="0"/>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Revised:</w:t>
            </w:r>
            <w:r w:rsidR="004A2B68">
              <w:rPr>
                <w:rFonts w:ascii="Times New Roman" w:eastAsia="Times New Roman" w:hAnsi="Times New Roman" w:cs="Times New Roman"/>
                <w:color w:val="000000"/>
                <w:sz w:val="20"/>
                <w:szCs w:val="20"/>
              </w:rPr>
              <w:t xml:space="preserve"> </w:t>
            </w:r>
            <w:r w:rsidR="00735EC0">
              <w:rPr>
                <w:rFonts w:ascii="Times New Roman" w:eastAsia="Times New Roman" w:hAnsi="Times New Roman" w:cs="Times New Roman"/>
                <w:color w:val="000000"/>
                <w:sz w:val="20"/>
                <w:szCs w:val="20"/>
              </w:rPr>
              <w:t>August 1</w:t>
            </w:r>
            <w:r w:rsidR="00AA57C7">
              <w:rPr>
                <w:rFonts w:ascii="Times New Roman" w:eastAsia="Times New Roman" w:hAnsi="Times New Roman" w:cs="Times New Roman"/>
                <w:color w:val="000000"/>
                <w:sz w:val="20"/>
                <w:szCs w:val="20"/>
              </w:rPr>
              <w:t>8</w:t>
            </w:r>
            <w:r w:rsidR="00735EC0">
              <w:rPr>
                <w:rFonts w:ascii="Times New Roman" w:eastAsia="Times New Roman" w:hAnsi="Times New Roman" w:cs="Times New Roman"/>
                <w:color w:val="000000"/>
                <w:sz w:val="20"/>
                <w:szCs w:val="20"/>
              </w:rPr>
              <w:t>, 2026</w:t>
            </w:r>
          </w:p>
          <w:p w14:paraId="37F46C1B" w14:textId="17135FC5" w:rsidR="0009793C" w:rsidRDefault="0009793C" w:rsidP="005A60A4">
            <w:pPr>
              <w:spacing w:after="0"/>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Accepted:</w:t>
            </w:r>
            <w:r w:rsidR="00AA57C7">
              <w:rPr>
                <w:rFonts w:ascii="Times New Roman" w:eastAsia="Times New Roman" w:hAnsi="Times New Roman" w:cs="Times New Roman"/>
                <w:color w:val="000000"/>
                <w:sz w:val="20"/>
                <w:szCs w:val="20"/>
              </w:rPr>
              <w:t xml:space="preserve"> August 20, 2026</w:t>
            </w:r>
          </w:p>
          <w:p w14:paraId="36E4253F" w14:textId="787C0AFA" w:rsidR="0009793C" w:rsidRDefault="0009793C" w:rsidP="005A60A4">
            <w:pPr>
              <w:spacing w:after="0"/>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Published:</w:t>
            </w:r>
            <w:r w:rsidR="00AA57C7">
              <w:rPr>
                <w:rFonts w:ascii="Times New Roman" w:eastAsia="Times New Roman" w:hAnsi="Times New Roman" w:cs="Times New Roman"/>
                <w:color w:val="000000"/>
                <w:sz w:val="20"/>
                <w:szCs w:val="20"/>
              </w:rPr>
              <w:t xml:space="preserve"> August 25, 2026</w:t>
            </w:r>
          </w:p>
          <w:p w14:paraId="6975A8C4" w14:textId="77777777" w:rsidR="0009793C" w:rsidRDefault="0009793C" w:rsidP="00B26235">
            <w:pPr>
              <w:rPr>
                <w:rFonts w:ascii="Times New Roman" w:eastAsia="Times New Roman" w:hAnsi="Times New Roman" w:cs="Times New Roman"/>
                <w:sz w:val="28"/>
                <w:szCs w:val="28"/>
              </w:rPr>
            </w:pPr>
          </w:p>
          <w:p w14:paraId="61D860F6" w14:textId="77777777" w:rsidR="0009793C" w:rsidRDefault="0009793C" w:rsidP="005A60A4">
            <w:pPr>
              <w:spacing w:after="0"/>
              <w:ind w:left="-108"/>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Corresponding Author:</w:t>
            </w:r>
          </w:p>
          <w:p w14:paraId="450C9D93" w14:textId="15253DF4" w:rsidR="0009793C" w:rsidRDefault="0009793C" w:rsidP="005A60A4">
            <w:pPr>
              <w:spacing w:after="0"/>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Author Name</w:t>
            </w:r>
            <w:r>
              <w:rPr>
                <w:rFonts w:ascii="Times New Roman" w:eastAsia="Times New Roman" w:hAnsi="Times New Roman" w:cs="Times New Roman"/>
                <w:color w:val="FF0000"/>
                <w:sz w:val="20"/>
                <w:szCs w:val="20"/>
              </w:rPr>
              <w:t>*</w:t>
            </w:r>
            <w:r>
              <w:rPr>
                <w:rFonts w:ascii="Times New Roman" w:eastAsia="Times New Roman" w:hAnsi="Times New Roman" w:cs="Times New Roman"/>
                <w:color w:val="000000"/>
                <w:sz w:val="20"/>
                <w:szCs w:val="20"/>
              </w:rPr>
              <w:t xml:space="preserve">: Reyhan </w:t>
            </w:r>
            <w:proofErr w:type="spellStart"/>
            <w:r>
              <w:rPr>
                <w:rFonts w:ascii="Times New Roman" w:eastAsia="Times New Roman" w:hAnsi="Times New Roman" w:cs="Times New Roman"/>
                <w:color w:val="000000"/>
                <w:sz w:val="20"/>
                <w:szCs w:val="20"/>
              </w:rPr>
              <w:t>Novandra</w:t>
            </w:r>
            <w:proofErr w:type="spellEnd"/>
          </w:p>
          <w:p w14:paraId="1005F2F0" w14:textId="60066FFC" w:rsidR="0009793C" w:rsidRDefault="0009793C" w:rsidP="005A60A4">
            <w:pPr>
              <w:spacing w:after="0"/>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Email</w:t>
            </w:r>
            <w:r>
              <w:rPr>
                <w:rFonts w:ascii="Times New Roman" w:eastAsia="Times New Roman" w:hAnsi="Times New Roman" w:cs="Times New Roman"/>
                <w:color w:val="FF0000"/>
                <w:sz w:val="20"/>
                <w:szCs w:val="20"/>
              </w:rPr>
              <w:t>*</w:t>
            </w:r>
            <w:r>
              <w:rPr>
                <w:rFonts w:ascii="Times New Roman" w:eastAsia="Times New Roman" w:hAnsi="Times New Roman" w:cs="Times New Roman"/>
                <w:color w:val="000000"/>
                <w:sz w:val="20"/>
                <w:szCs w:val="20"/>
              </w:rPr>
              <w:t>: raihannovandra7@gmail.com</w:t>
            </w:r>
          </w:p>
          <w:p w14:paraId="4F458F31" w14:textId="77777777" w:rsidR="0009793C" w:rsidRDefault="0009793C" w:rsidP="00B26235">
            <w:pPr>
              <w:rPr>
                <w:rFonts w:ascii="Times New Roman" w:eastAsia="Times New Roman" w:hAnsi="Times New Roman" w:cs="Times New Roman"/>
              </w:rPr>
            </w:pPr>
          </w:p>
        </w:tc>
        <w:tc>
          <w:tcPr>
            <w:tcW w:w="5789" w:type="dxa"/>
          </w:tcPr>
          <w:p w14:paraId="12D8F993" w14:textId="65A92D98" w:rsidR="001554F4" w:rsidRDefault="00A55947" w:rsidP="001554F4">
            <w:pPr>
              <w:jc w:val="both"/>
              <w:rPr>
                <w:rFonts w:ascii="Times New Roman" w:eastAsia="Times New Roman" w:hAnsi="Times New Roman" w:cs="Times New Roman"/>
                <w:b/>
                <w:bCs/>
                <w:i/>
                <w:iCs/>
                <w:sz w:val="20"/>
                <w:szCs w:val="20"/>
              </w:rPr>
            </w:pPr>
            <w:r w:rsidRPr="00A55947">
              <w:rPr>
                <w:rFonts w:ascii="Times New Roman" w:eastAsia="Times New Roman" w:hAnsi="Times New Roman" w:cs="Times New Roman"/>
                <w:b/>
                <w:bCs/>
                <w:i/>
                <w:iCs/>
                <w:sz w:val="20"/>
                <w:szCs w:val="20"/>
              </w:rPr>
              <w:t>Abstract:</w:t>
            </w:r>
            <w:r w:rsidR="001554F4">
              <w:rPr>
                <w:rFonts w:ascii="Times New Roman" w:eastAsia="Times New Roman" w:hAnsi="Times New Roman" w:cs="Times New Roman"/>
                <w:b/>
                <w:bCs/>
                <w:i/>
                <w:iCs/>
                <w:sz w:val="20"/>
                <w:szCs w:val="20"/>
              </w:rPr>
              <w:t xml:space="preserve"> </w:t>
            </w:r>
            <w:r w:rsidR="001554F4" w:rsidRPr="001554F4">
              <w:rPr>
                <w:rFonts w:ascii="Times New Roman" w:eastAsia="Times New Roman" w:hAnsi="Times New Roman" w:cs="Times New Roman"/>
                <w:i/>
                <w:iCs/>
                <w:sz w:val="20"/>
                <w:szCs w:val="20"/>
              </w:rPr>
              <w:t xml:space="preserve">International investment arbitration is a rapidly developing dispute resolution mechanism as foreign investment flows to various countries continue to increase. This mechanism is designed to provide legal protection to foreign investors through an independent, neutral, and binding dispute resolution process. However, in practice, international investment arbitration not only provides legal certainty for investors, but also raises various legal issues related to the exercise of state sovereignty. Arbitral awards that require the state to pay large amounts of damages are often considered to limit the state's authority to set public policies, particularly in the areas of environment, health, taxation, and natural resource management. This study aims to </w:t>
            </w:r>
            <w:proofErr w:type="spellStart"/>
            <w:r w:rsidR="001554F4" w:rsidRPr="001554F4">
              <w:rPr>
                <w:rFonts w:ascii="Times New Roman" w:eastAsia="Times New Roman" w:hAnsi="Times New Roman" w:cs="Times New Roman"/>
                <w:i/>
                <w:iCs/>
                <w:sz w:val="20"/>
                <w:szCs w:val="20"/>
              </w:rPr>
              <w:t>analyze</w:t>
            </w:r>
            <w:proofErr w:type="spellEnd"/>
            <w:r w:rsidR="001554F4" w:rsidRPr="001554F4">
              <w:rPr>
                <w:rFonts w:ascii="Times New Roman" w:eastAsia="Times New Roman" w:hAnsi="Times New Roman" w:cs="Times New Roman"/>
                <w:i/>
                <w:iCs/>
                <w:sz w:val="20"/>
                <w:szCs w:val="20"/>
              </w:rPr>
              <w:t xml:space="preserve"> the investor protection mechanism in international investment arbitration and examine the relationship between investor protection and the principle of state sovereignty. This study addresses two key questions: how the investor protection mechanism operates within international investment arbitration, and how investor protection can be balanced with state sovereignty from the perspective of international law. The research method used is normative legal research with a statutory approach, a conceptual approach, and a case approach through the study of various international legal instruments, conventions, and international investment arbitration awards. The results of the study show that investor protection is an important part of creating a conducive investment climate, but its implementation must still pay attention to the state's right to regulate for the public interest. Therefore, a balance between investor protection and state sovereignty is needed to realize a fair, effective, and legal arbitration system for all parties.</w:t>
            </w:r>
          </w:p>
          <w:p w14:paraId="3CF99655" w14:textId="144414A7" w:rsidR="0009793C" w:rsidRPr="00A55947" w:rsidRDefault="002D63F8" w:rsidP="001554F4">
            <w:pPr>
              <w:jc w:val="both"/>
              <w:rPr>
                <w:rFonts w:ascii="Times New Roman" w:eastAsia="Times New Roman" w:hAnsi="Times New Roman" w:cs="Times New Roman"/>
                <w:sz w:val="20"/>
                <w:szCs w:val="20"/>
              </w:rPr>
            </w:pPr>
            <w:r w:rsidRPr="002D63F8">
              <w:rPr>
                <w:rFonts w:ascii="Times New Roman" w:eastAsia="Times New Roman" w:hAnsi="Times New Roman" w:cs="Times New Roman"/>
                <w:b/>
                <w:bCs/>
                <w:i/>
                <w:iCs/>
                <w:sz w:val="20"/>
                <w:szCs w:val="20"/>
              </w:rPr>
              <w:t xml:space="preserve">Keywords: </w:t>
            </w:r>
            <w:r w:rsidRPr="00CE67B5">
              <w:rPr>
                <w:rFonts w:ascii="Times New Roman" w:eastAsia="Times New Roman" w:hAnsi="Times New Roman" w:cs="Times New Roman"/>
                <w:i/>
                <w:iCs/>
                <w:sz w:val="20"/>
                <w:szCs w:val="20"/>
              </w:rPr>
              <w:t>International Investment Arbitration, Investor Protection, State Sovereignty</w:t>
            </w:r>
            <w:r w:rsidRPr="002D63F8">
              <w:rPr>
                <w:rFonts w:ascii="Times New Roman" w:eastAsia="Times New Roman" w:hAnsi="Times New Roman" w:cs="Times New Roman"/>
                <w:b/>
                <w:bCs/>
                <w:i/>
                <w:iCs/>
                <w:sz w:val="20"/>
                <w:szCs w:val="20"/>
              </w:rPr>
              <w:t>.</w:t>
            </w:r>
          </w:p>
        </w:tc>
      </w:tr>
    </w:tbl>
    <w:p w14:paraId="6B8590A7" w14:textId="77777777" w:rsidR="00A55947" w:rsidRDefault="00A55947" w:rsidP="0009793C">
      <w:pPr>
        <w:spacing w:after="0"/>
        <w:jc w:val="both"/>
        <w:rPr>
          <w:rFonts w:ascii="Times New Roman" w:eastAsia="Times New Roman" w:hAnsi="Times New Roman" w:cs="Times New Roman"/>
          <w:b/>
          <w:sz w:val="24"/>
          <w:szCs w:val="24"/>
        </w:rPr>
      </w:pPr>
    </w:p>
    <w:p w14:paraId="68F447D2" w14:textId="77777777" w:rsidR="00CE67B5" w:rsidRDefault="00CE67B5" w:rsidP="0009793C">
      <w:pPr>
        <w:spacing w:after="0"/>
        <w:jc w:val="both"/>
        <w:rPr>
          <w:rFonts w:ascii="Times New Roman" w:eastAsia="Times New Roman" w:hAnsi="Times New Roman" w:cs="Times New Roman"/>
          <w:b/>
          <w:sz w:val="24"/>
          <w:szCs w:val="24"/>
        </w:rPr>
      </w:pPr>
    </w:p>
    <w:p w14:paraId="6A565A37" w14:textId="1C1190FF" w:rsidR="0009793C" w:rsidRDefault="0009793C" w:rsidP="0009793C">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42B8E4D2" w14:textId="1D1675C9" w:rsidR="00E427ED" w:rsidRPr="00E427ED" w:rsidRDefault="001436D8" w:rsidP="005A60A4">
      <w:pPr>
        <w:jc w:val="both"/>
        <w:rPr>
          <w:rFonts w:ascii="Times New Roman" w:hAnsi="Times New Roman" w:cs="Times New Roman"/>
        </w:rPr>
      </w:pPr>
      <w:r>
        <w:rPr>
          <w:rFonts w:ascii="Times New Roman" w:hAnsi="Times New Roman" w:cs="Times New Roman"/>
        </w:rPr>
        <w:tab/>
      </w:r>
      <w:r w:rsidR="00873B72" w:rsidRPr="00873B72">
        <w:rPr>
          <w:rFonts w:ascii="Times New Roman" w:hAnsi="Times New Roman" w:cs="Times New Roman"/>
        </w:rPr>
        <w:t>Foreign direct investment flows (</w:t>
      </w:r>
      <w:r w:rsidR="00873B72" w:rsidRPr="00873B72">
        <w:rPr>
          <w:rFonts w:ascii="Times New Roman" w:hAnsi="Times New Roman" w:cs="Times New Roman"/>
          <w:i/>
          <w:iCs/>
        </w:rPr>
        <w:t>Foreign Direct Investment</w:t>
      </w:r>
      <w:r w:rsidR="00873B72" w:rsidRPr="00873B72">
        <w:rPr>
          <w:rFonts w:ascii="Times New Roman" w:hAnsi="Times New Roman" w:cs="Times New Roman"/>
        </w:rPr>
        <w:t xml:space="preserve">/FDI) </w:t>
      </w:r>
      <w:proofErr w:type="gramStart"/>
      <w:r w:rsidR="00873B72" w:rsidRPr="00873B72">
        <w:rPr>
          <w:rFonts w:ascii="Times New Roman" w:hAnsi="Times New Roman" w:cs="Times New Roman"/>
        </w:rPr>
        <w:t>has</w:t>
      </w:r>
      <w:proofErr w:type="gramEnd"/>
      <w:r w:rsidR="00873B72" w:rsidRPr="00873B72">
        <w:rPr>
          <w:rFonts w:ascii="Times New Roman" w:hAnsi="Times New Roman" w:cs="Times New Roman"/>
        </w:rPr>
        <w:t xml:space="preserve"> experienced significant increases in recent decades as a consequence of economic globalization and liberalization of international trade. Foreign investment is seen as one of the important instruments in encouraging economic growth, creating jobs, increasing technology transfer, and strengthening national development in various developing </w:t>
      </w:r>
      <w:r w:rsidR="00873B72" w:rsidRPr="00873B72">
        <w:rPr>
          <w:rFonts w:ascii="Times New Roman" w:hAnsi="Times New Roman" w:cs="Times New Roman"/>
        </w:rPr>
        <w:lastRenderedPageBreak/>
        <w:t>countries. This condition has caused almost all countries to try to create a conducive investment climate through the drafting of various regulations that provide legal certainty to investors. One form of legal protection is realized through the international investment arbitration mechanism. This mechanism gives foreign investors the opportunity to file lawsuits against the recipient country when the state is considered to have violated obligations stipulated in international investment agreements</w:t>
      </w:r>
      <w:r w:rsidR="00E427ED" w:rsidRPr="00E427ED">
        <w:rPr>
          <w:rFonts w:ascii="Times New Roman" w:hAnsi="Times New Roman" w:cs="Times New Roman"/>
        </w:rPr>
        <w:t>.</w:t>
      </w:r>
      <w:r w:rsidR="00E427ED" w:rsidRPr="00E427ED">
        <w:rPr>
          <w:rStyle w:val="FootnoteReference"/>
          <w:rFonts w:ascii="Times New Roman" w:hAnsi="Times New Roman" w:cs="Times New Roman"/>
        </w:rPr>
        <w:footnoteReference w:id="1"/>
      </w:r>
    </w:p>
    <w:p w14:paraId="4A2F1AF7" w14:textId="011020C4" w:rsidR="00E427ED" w:rsidRPr="00E427ED" w:rsidRDefault="00873B72" w:rsidP="005A60A4">
      <w:pPr>
        <w:ind w:firstLine="720"/>
        <w:jc w:val="both"/>
        <w:rPr>
          <w:rFonts w:ascii="Times New Roman" w:hAnsi="Times New Roman" w:cs="Times New Roman"/>
        </w:rPr>
      </w:pPr>
      <w:r w:rsidRPr="00873B72">
        <w:rPr>
          <w:rFonts w:ascii="Times New Roman" w:hAnsi="Times New Roman" w:cs="Times New Roman"/>
        </w:rPr>
        <w:t xml:space="preserve">Historically, the development of international investment arbitration cannot be separated from the birth of the </w:t>
      </w:r>
      <w:r w:rsidRPr="00873B72">
        <w:rPr>
          <w:rFonts w:ascii="Times New Roman" w:hAnsi="Times New Roman" w:cs="Times New Roman"/>
          <w:i/>
          <w:iCs/>
        </w:rPr>
        <w:t>1965 Convention on the Settlement of Investment Disputes between States and Nationals of Other States</w:t>
      </w:r>
      <w:r w:rsidRPr="00873B72">
        <w:rPr>
          <w:rFonts w:ascii="Times New Roman" w:hAnsi="Times New Roman" w:cs="Times New Roman"/>
        </w:rPr>
        <w:t xml:space="preserve"> (</w:t>
      </w:r>
      <w:r w:rsidRPr="00873B72">
        <w:rPr>
          <w:rFonts w:ascii="Times New Roman" w:hAnsi="Times New Roman" w:cs="Times New Roman"/>
          <w:i/>
          <w:iCs/>
        </w:rPr>
        <w:t>ICSID Convention</w:t>
      </w:r>
      <w:r w:rsidRPr="00873B72">
        <w:rPr>
          <w:rFonts w:ascii="Times New Roman" w:hAnsi="Times New Roman" w:cs="Times New Roman"/>
        </w:rPr>
        <w:t xml:space="preserve">) which was under the auspices of the </w:t>
      </w:r>
      <w:r w:rsidRPr="00873B72">
        <w:rPr>
          <w:rFonts w:ascii="Times New Roman" w:hAnsi="Times New Roman" w:cs="Times New Roman"/>
          <w:i/>
          <w:iCs/>
        </w:rPr>
        <w:t>World Bank Group</w:t>
      </w:r>
      <w:r w:rsidRPr="00873B72">
        <w:rPr>
          <w:rFonts w:ascii="Times New Roman" w:hAnsi="Times New Roman" w:cs="Times New Roman"/>
        </w:rPr>
        <w:t xml:space="preserve">. This convention marked a major milestone in the establishment of an international investment dispute settlement system. It provides an independent arbitration forum, and it also includes a mechanism for enforcing awards that the convention's member states recognize. In addition, investment dispute resolution has also developed through </w:t>
      </w:r>
      <w:r w:rsidRPr="00873B72">
        <w:rPr>
          <w:rFonts w:ascii="Times New Roman" w:hAnsi="Times New Roman" w:cs="Times New Roman"/>
          <w:i/>
          <w:iCs/>
        </w:rPr>
        <w:t>the UNCITRAL Arbitration Rules</w:t>
      </w:r>
      <w:r w:rsidRPr="00873B72">
        <w:rPr>
          <w:rFonts w:ascii="Times New Roman" w:hAnsi="Times New Roman" w:cs="Times New Roman"/>
        </w:rPr>
        <w:t xml:space="preserve">, various </w:t>
      </w:r>
      <w:r w:rsidRPr="00873B72">
        <w:rPr>
          <w:rFonts w:ascii="Times New Roman" w:hAnsi="Times New Roman" w:cs="Times New Roman"/>
          <w:i/>
          <w:iCs/>
        </w:rPr>
        <w:t>Bilateral Investment Treaties</w:t>
      </w:r>
      <w:r w:rsidRPr="00873B72">
        <w:rPr>
          <w:rFonts w:ascii="Times New Roman" w:hAnsi="Times New Roman" w:cs="Times New Roman"/>
        </w:rPr>
        <w:t xml:space="preserve"> (BITs), and investment provisions in </w:t>
      </w:r>
      <w:r w:rsidRPr="00873B72">
        <w:rPr>
          <w:rFonts w:ascii="Times New Roman" w:hAnsi="Times New Roman" w:cs="Times New Roman"/>
          <w:i/>
          <w:iCs/>
        </w:rPr>
        <w:t>Free Trade Agreements</w:t>
      </w:r>
      <w:r w:rsidRPr="00873B72">
        <w:rPr>
          <w:rFonts w:ascii="Times New Roman" w:hAnsi="Times New Roman" w:cs="Times New Roman"/>
        </w:rPr>
        <w:t xml:space="preserve"> (FTAs). These instruments give investors the right to sue the state directly through the </w:t>
      </w:r>
      <w:r w:rsidRPr="00873B72">
        <w:rPr>
          <w:rFonts w:ascii="Times New Roman" w:hAnsi="Times New Roman" w:cs="Times New Roman"/>
          <w:i/>
          <w:iCs/>
        </w:rPr>
        <w:t>Investor-State Dispute Settlement</w:t>
      </w:r>
      <w:r w:rsidRPr="00873B72">
        <w:rPr>
          <w:rFonts w:ascii="Times New Roman" w:hAnsi="Times New Roman" w:cs="Times New Roman"/>
        </w:rPr>
        <w:t xml:space="preserve"> (ISDS) mechanism</w:t>
      </w:r>
      <w:r w:rsidR="00E427ED" w:rsidRPr="00E427ED">
        <w:rPr>
          <w:rFonts w:ascii="Times New Roman" w:hAnsi="Times New Roman" w:cs="Times New Roman"/>
        </w:rPr>
        <w:t>.</w:t>
      </w:r>
      <w:r w:rsidR="00E427ED">
        <w:rPr>
          <w:rStyle w:val="FootnoteReference"/>
          <w:rFonts w:ascii="Times New Roman" w:hAnsi="Times New Roman" w:cs="Times New Roman"/>
        </w:rPr>
        <w:footnoteReference w:id="2"/>
      </w:r>
    </w:p>
    <w:p w14:paraId="0C2A44EF" w14:textId="18CBDC52" w:rsidR="00E427ED" w:rsidRPr="00E427ED" w:rsidRDefault="00873B72" w:rsidP="005A60A4">
      <w:pPr>
        <w:ind w:firstLine="720"/>
        <w:jc w:val="both"/>
        <w:rPr>
          <w:rFonts w:ascii="Times New Roman" w:hAnsi="Times New Roman" w:cs="Times New Roman"/>
        </w:rPr>
      </w:pPr>
      <w:r w:rsidRPr="00873B72">
        <w:rPr>
          <w:rFonts w:ascii="Times New Roman" w:hAnsi="Times New Roman" w:cs="Times New Roman"/>
        </w:rPr>
        <w:t xml:space="preserve">The existence of international investment arbitration basically aims to provide legal protection guarantees to foreign investors in order to obtain fair and </w:t>
      </w:r>
      <w:r w:rsidRPr="00873B72">
        <w:rPr>
          <w:rFonts w:ascii="Times New Roman" w:hAnsi="Times New Roman" w:cs="Times New Roman"/>
          <w:i/>
          <w:iCs/>
        </w:rPr>
        <w:t>equitable treatment</w:t>
      </w:r>
      <w:r w:rsidRPr="00873B72">
        <w:rPr>
          <w:rFonts w:ascii="Times New Roman" w:hAnsi="Times New Roman" w:cs="Times New Roman"/>
        </w:rPr>
        <w:t xml:space="preserve">, </w:t>
      </w:r>
      <w:r w:rsidRPr="00873B72">
        <w:rPr>
          <w:rFonts w:ascii="Times New Roman" w:hAnsi="Times New Roman" w:cs="Times New Roman"/>
          <w:i/>
          <w:iCs/>
        </w:rPr>
        <w:t>Full Protection and Security</w:t>
      </w:r>
      <w:r w:rsidRPr="00873B72">
        <w:rPr>
          <w:rFonts w:ascii="Times New Roman" w:hAnsi="Times New Roman" w:cs="Times New Roman"/>
        </w:rPr>
        <w:t xml:space="preserve">, National </w:t>
      </w:r>
      <w:r w:rsidRPr="00873B72">
        <w:rPr>
          <w:rFonts w:ascii="Times New Roman" w:hAnsi="Times New Roman" w:cs="Times New Roman"/>
          <w:i/>
          <w:iCs/>
        </w:rPr>
        <w:t>Treatment</w:t>
      </w:r>
      <w:r w:rsidRPr="00873B72">
        <w:rPr>
          <w:rFonts w:ascii="Times New Roman" w:hAnsi="Times New Roman" w:cs="Times New Roman"/>
        </w:rPr>
        <w:t xml:space="preserve">, and treatment that is no less </w:t>
      </w:r>
      <w:proofErr w:type="spellStart"/>
      <w:r w:rsidRPr="00873B72">
        <w:rPr>
          <w:rFonts w:ascii="Times New Roman" w:hAnsi="Times New Roman" w:cs="Times New Roman"/>
        </w:rPr>
        <w:t>favorable</w:t>
      </w:r>
      <w:proofErr w:type="spellEnd"/>
      <w:r w:rsidRPr="00873B72">
        <w:rPr>
          <w:rFonts w:ascii="Times New Roman" w:hAnsi="Times New Roman" w:cs="Times New Roman"/>
        </w:rPr>
        <w:t xml:space="preserve"> than investors from other countries (</w:t>
      </w:r>
      <w:r w:rsidRPr="00873B72">
        <w:rPr>
          <w:rFonts w:ascii="Times New Roman" w:hAnsi="Times New Roman" w:cs="Times New Roman"/>
          <w:i/>
          <w:iCs/>
        </w:rPr>
        <w:t>Most Favoured Nation Treatment</w:t>
      </w:r>
      <w:r w:rsidRPr="00873B72">
        <w:rPr>
          <w:rFonts w:ascii="Times New Roman" w:hAnsi="Times New Roman" w:cs="Times New Roman"/>
        </w:rPr>
        <w:t>). These protection standards are expected to increase investor confidence to invest their capital, thereby providing economic benefits for the investment recipient country</w:t>
      </w:r>
      <w:r w:rsidR="00E427ED" w:rsidRPr="00E427ED">
        <w:rPr>
          <w:rFonts w:ascii="Times New Roman" w:hAnsi="Times New Roman" w:cs="Times New Roman"/>
        </w:rPr>
        <w:t>.</w:t>
      </w:r>
      <w:r w:rsidR="00E427ED">
        <w:rPr>
          <w:rStyle w:val="FootnoteReference"/>
          <w:rFonts w:ascii="Times New Roman" w:hAnsi="Times New Roman" w:cs="Times New Roman"/>
        </w:rPr>
        <w:footnoteReference w:id="3"/>
      </w:r>
    </w:p>
    <w:p w14:paraId="5C84BFB0" w14:textId="77777777" w:rsidR="00873B72" w:rsidRDefault="00873B72" w:rsidP="005A60A4">
      <w:pPr>
        <w:ind w:firstLine="720"/>
        <w:jc w:val="both"/>
        <w:rPr>
          <w:rFonts w:ascii="Times New Roman" w:hAnsi="Times New Roman" w:cs="Times New Roman"/>
        </w:rPr>
      </w:pPr>
      <w:r w:rsidRPr="00873B72">
        <w:rPr>
          <w:rFonts w:ascii="Times New Roman" w:hAnsi="Times New Roman" w:cs="Times New Roman"/>
        </w:rPr>
        <w:t>However, the development of international investment arbitration has also given rise to various debates regarding the relationship between investor protection and state sovereignty. In various international arbitration awards, states are often required to pay enormous amounts of compensation due to government policies that are deemed to be in violation of the provisions of investment agreements. This condition raises criticism that the investment arbitration mechanism prioritizes the interests of investors over the state's right to regulate public policies for the benefit of the community.</w:t>
      </w:r>
    </w:p>
    <w:p w14:paraId="2CAB1409" w14:textId="4A72D823" w:rsidR="00E427ED" w:rsidRPr="00E427ED" w:rsidRDefault="00873B72" w:rsidP="005A60A4">
      <w:pPr>
        <w:ind w:firstLine="720"/>
        <w:jc w:val="both"/>
        <w:rPr>
          <w:rFonts w:ascii="Times New Roman" w:hAnsi="Times New Roman" w:cs="Times New Roman"/>
        </w:rPr>
      </w:pPr>
      <w:r w:rsidRPr="00873B72">
        <w:rPr>
          <w:rFonts w:ascii="Times New Roman" w:hAnsi="Times New Roman" w:cs="Times New Roman"/>
        </w:rPr>
        <w:t xml:space="preserve">Several international investment disputes show that state policies in the fields of environment, public health, energy, taxation, and natural resource management can be the object of investor lawsuits. For example, the </w:t>
      </w:r>
      <w:r w:rsidRPr="00873B72">
        <w:rPr>
          <w:rFonts w:ascii="Times New Roman" w:hAnsi="Times New Roman" w:cs="Times New Roman"/>
          <w:i/>
          <w:iCs/>
        </w:rPr>
        <w:t>Philip Morris Asia Limited v. Commonwealth of Australia</w:t>
      </w:r>
      <w:r w:rsidRPr="00873B72">
        <w:rPr>
          <w:rFonts w:ascii="Times New Roman" w:hAnsi="Times New Roman" w:cs="Times New Roman"/>
        </w:rPr>
        <w:t xml:space="preserve"> dispute related to plain cigarette packaging policy, as well as </w:t>
      </w:r>
      <w:r w:rsidRPr="00873B72">
        <w:rPr>
          <w:rFonts w:ascii="Times New Roman" w:hAnsi="Times New Roman" w:cs="Times New Roman"/>
          <w:i/>
          <w:iCs/>
        </w:rPr>
        <w:t>the Vattenfall AB v. Federal Republic of Germany</w:t>
      </w:r>
      <w:r w:rsidRPr="00873B72">
        <w:rPr>
          <w:rFonts w:ascii="Times New Roman" w:hAnsi="Times New Roman" w:cs="Times New Roman"/>
        </w:rPr>
        <w:t xml:space="preserve"> dispute related to environmental and energy policy. These disputes show that policies made in the public interest can be considered a violation of investment protection obligations and thus have legal consequences for the state</w:t>
      </w:r>
      <w:r w:rsidR="00E427ED" w:rsidRPr="00E427ED">
        <w:rPr>
          <w:rFonts w:ascii="Times New Roman" w:hAnsi="Times New Roman" w:cs="Times New Roman"/>
        </w:rPr>
        <w:t>.</w:t>
      </w:r>
      <w:r w:rsidR="00E427ED">
        <w:rPr>
          <w:rStyle w:val="FootnoteReference"/>
          <w:rFonts w:ascii="Times New Roman" w:hAnsi="Times New Roman" w:cs="Times New Roman"/>
        </w:rPr>
        <w:footnoteReference w:id="4"/>
      </w:r>
    </w:p>
    <w:p w14:paraId="3A2C5CA9" w14:textId="16915E52" w:rsidR="00E427ED" w:rsidRPr="00E427ED" w:rsidRDefault="00873B72" w:rsidP="005A60A4">
      <w:pPr>
        <w:ind w:firstLine="720"/>
        <w:jc w:val="both"/>
        <w:rPr>
          <w:rFonts w:ascii="Times New Roman" w:hAnsi="Times New Roman" w:cs="Times New Roman"/>
        </w:rPr>
      </w:pPr>
      <w:r w:rsidRPr="00873B72">
        <w:rPr>
          <w:rFonts w:ascii="Times New Roman" w:hAnsi="Times New Roman" w:cs="Times New Roman"/>
        </w:rPr>
        <w:t>From the perspective of international law, states basically have the sovereignty to regulate their own territory, natural resources, and public policies. The principle of state sovereignty is one of the fundamental principles recognized in the Charter of the United Nations and various other international legal instruments. However, when a country becomes a party to an international investment agreement, some of these authorities are limited by international obligations that must be complied with. This condition raises a dilemma between the protection of foreign investors and the right of the state to carry out its government functions freely</w:t>
      </w:r>
      <w:r w:rsidR="00E427ED" w:rsidRPr="00E427ED">
        <w:rPr>
          <w:rFonts w:ascii="Times New Roman" w:hAnsi="Times New Roman" w:cs="Times New Roman"/>
        </w:rPr>
        <w:t>.</w:t>
      </w:r>
    </w:p>
    <w:p w14:paraId="025B4877" w14:textId="77777777" w:rsidR="00873B72" w:rsidRDefault="00873B72" w:rsidP="005A60A4">
      <w:pPr>
        <w:ind w:firstLine="720"/>
        <w:jc w:val="both"/>
        <w:rPr>
          <w:rFonts w:ascii="Times New Roman" w:hAnsi="Times New Roman" w:cs="Times New Roman"/>
        </w:rPr>
      </w:pPr>
      <w:r w:rsidRPr="00873B72">
        <w:rPr>
          <w:rFonts w:ascii="Times New Roman" w:hAnsi="Times New Roman" w:cs="Times New Roman"/>
        </w:rPr>
        <w:t>Building on this dilemma, the problem grows increasingly complex as the number of bilateral and multilateral investment agreements that provide investors with direct access to sue the state continues to increase. On the one hand, the mechanism provides legal certainty and increases investor confidence. However, on the other hand, there are concerns that such mechanisms can reduce the government's space to formulate public policies, especially those related to environmental protection, public health, human rights, and sustainable development.</w:t>
      </w:r>
    </w:p>
    <w:p w14:paraId="3179BA75" w14:textId="4AC8A969" w:rsidR="00E427ED" w:rsidRPr="00E427ED" w:rsidRDefault="00873B72" w:rsidP="005A60A4">
      <w:pPr>
        <w:ind w:firstLine="720"/>
        <w:jc w:val="both"/>
        <w:rPr>
          <w:rFonts w:ascii="Times New Roman" w:hAnsi="Times New Roman" w:cs="Times New Roman"/>
        </w:rPr>
      </w:pPr>
      <w:r w:rsidRPr="00873B72">
        <w:rPr>
          <w:rFonts w:ascii="Times New Roman" w:hAnsi="Times New Roman" w:cs="Times New Roman"/>
        </w:rPr>
        <w:t xml:space="preserve">Based on these conditions, there are several legal issues that are the focus of the study in this study. First, there is a </w:t>
      </w:r>
      <w:r w:rsidRPr="00873B72">
        <w:rPr>
          <w:rFonts w:ascii="Times New Roman" w:hAnsi="Times New Roman" w:cs="Times New Roman"/>
          <w:i/>
          <w:iCs/>
        </w:rPr>
        <w:t>vague norm</w:t>
      </w:r>
      <w:r w:rsidRPr="00873B72">
        <w:rPr>
          <w:rFonts w:ascii="Times New Roman" w:hAnsi="Times New Roman" w:cs="Times New Roman"/>
        </w:rPr>
        <w:t xml:space="preserve"> regarding the limits of the application of investor protection standards, especially the concept of </w:t>
      </w:r>
      <w:r w:rsidRPr="00873B72">
        <w:rPr>
          <w:rFonts w:ascii="Times New Roman" w:hAnsi="Times New Roman" w:cs="Times New Roman"/>
          <w:i/>
          <w:iCs/>
        </w:rPr>
        <w:t>Fair and Equitable Treatment</w:t>
      </w:r>
      <w:r w:rsidRPr="00873B72">
        <w:rPr>
          <w:rFonts w:ascii="Times New Roman" w:hAnsi="Times New Roman" w:cs="Times New Roman"/>
        </w:rPr>
        <w:t xml:space="preserve"> which is still often interpreted differently by international arbitration tribunals. Second, there is a </w:t>
      </w:r>
      <w:r w:rsidRPr="00873B72">
        <w:rPr>
          <w:rFonts w:ascii="Times New Roman" w:hAnsi="Times New Roman" w:cs="Times New Roman"/>
          <w:i/>
          <w:iCs/>
        </w:rPr>
        <w:t>conflict of norms</w:t>
      </w:r>
      <w:r w:rsidRPr="00873B72">
        <w:rPr>
          <w:rFonts w:ascii="Times New Roman" w:hAnsi="Times New Roman" w:cs="Times New Roman"/>
        </w:rPr>
        <w:t xml:space="preserve"> between the state's obligation to provide protection to investors based on investment agreements and the state's obligation to carry out government functions and protect the public interest based on the principle of state sovereignty. Third, there is a legal </w:t>
      </w:r>
      <w:r w:rsidRPr="00873B72">
        <w:rPr>
          <w:rFonts w:ascii="Times New Roman" w:hAnsi="Times New Roman" w:cs="Times New Roman"/>
          <w:i/>
          <w:iCs/>
        </w:rPr>
        <w:t>vacuum</w:t>
      </w:r>
      <w:r w:rsidRPr="00873B72">
        <w:rPr>
          <w:rFonts w:ascii="Times New Roman" w:hAnsi="Times New Roman" w:cs="Times New Roman"/>
        </w:rPr>
        <w:t xml:space="preserve"> regarding regulation that expressly accommodates the balance between investor protection and the state's right to regulate, thus often creating legal uncertainty in the practice of international investment arbitratio</w:t>
      </w:r>
      <w:r>
        <w:rPr>
          <w:rFonts w:ascii="Times New Roman" w:hAnsi="Times New Roman" w:cs="Times New Roman"/>
        </w:rPr>
        <w:t>n</w:t>
      </w:r>
      <w:r w:rsidR="00E427ED" w:rsidRPr="00E427ED">
        <w:rPr>
          <w:rFonts w:ascii="Times New Roman" w:hAnsi="Times New Roman" w:cs="Times New Roman"/>
        </w:rPr>
        <w:t>.</w:t>
      </w:r>
      <w:r w:rsidR="00E427ED">
        <w:rPr>
          <w:rStyle w:val="FootnoteReference"/>
          <w:rFonts w:ascii="Times New Roman" w:hAnsi="Times New Roman" w:cs="Times New Roman"/>
        </w:rPr>
        <w:footnoteReference w:id="5"/>
      </w:r>
    </w:p>
    <w:p w14:paraId="390F8692" w14:textId="25F2D793" w:rsidR="00CE67B5" w:rsidRDefault="00CE67B5" w:rsidP="00E427ED">
      <w:pPr>
        <w:rPr>
          <w:rFonts w:ascii="Times New Roman" w:eastAsia="Times New Roman" w:hAnsi="Times New Roman" w:cs="Times New Roman"/>
          <w:b/>
          <w:sz w:val="24"/>
          <w:szCs w:val="24"/>
        </w:rPr>
      </w:pPr>
    </w:p>
    <w:p w14:paraId="2EF8D019" w14:textId="084640A7" w:rsidR="00441B4D" w:rsidRDefault="007B1E30" w:rsidP="00455C43">
      <w:pPr>
        <w:rPr>
          <w:rFonts w:ascii="Times New Roman" w:eastAsia="Times New Roman" w:hAnsi="Times New Roman" w:cs="Times New Roman"/>
          <w:b/>
          <w:sz w:val="24"/>
          <w:szCs w:val="24"/>
        </w:rPr>
      </w:pPr>
      <w:r w:rsidRPr="007B1E30">
        <w:rPr>
          <w:rFonts w:ascii="Times New Roman" w:eastAsia="Times New Roman" w:hAnsi="Times New Roman" w:cs="Times New Roman"/>
          <w:b/>
          <w:sz w:val="24"/>
          <w:szCs w:val="24"/>
        </w:rPr>
        <w:t>METHODOLOGY</w:t>
      </w:r>
    </w:p>
    <w:p w14:paraId="03DD843C" w14:textId="0E8A3EB3" w:rsidR="00CE67B5" w:rsidRDefault="00873B72" w:rsidP="00CE67B5">
      <w:pPr>
        <w:ind w:firstLine="720"/>
        <w:jc w:val="both"/>
        <w:rPr>
          <w:rFonts w:ascii="Times New Roman" w:hAnsi="Times New Roman" w:cs="Times New Roman"/>
        </w:rPr>
      </w:pPr>
      <w:r w:rsidRPr="00873B72">
        <w:rPr>
          <w:rFonts w:ascii="Times New Roman" w:hAnsi="Times New Roman" w:cs="Times New Roman"/>
        </w:rPr>
        <w:t xml:space="preserve">This research uses normative legal research methods that focus on the study of legal norms that govern international investment arbitration and investor protection from an international law perspective. The approaches used include the statute approach, the conceptual approach, and the case approach. The statute approach is carried out through the analysis of various international legal instruments, including the Convention on the Settlement of Investment Disputes between States and Nationals of Other States (ICSID Convention) 1965, the Convention on the Recognition and Enforcement of Foreign Arbitral Awards (New York Convention) 1958, the UNCITRAL Arbitration Rules, and various Bilateral Investment Treaties (BITs) that regulate investment protection. The conceptual approach is used to examine theories regarding international investment arbitration, investor protection, and the principle of state sovereignty, while the case approach is carried out through the analysis of several relevant international investment arbitration awards. The legal materials used consist of primary legal materials, secondary legal materials, and tertiary legal materials that are </w:t>
      </w:r>
      <w:proofErr w:type="spellStart"/>
      <w:r w:rsidRPr="00873B72">
        <w:rPr>
          <w:rFonts w:ascii="Times New Roman" w:hAnsi="Times New Roman" w:cs="Times New Roman"/>
        </w:rPr>
        <w:t>analyzed</w:t>
      </w:r>
      <w:proofErr w:type="spellEnd"/>
      <w:r w:rsidRPr="00873B72">
        <w:rPr>
          <w:rFonts w:ascii="Times New Roman" w:hAnsi="Times New Roman" w:cs="Times New Roman"/>
        </w:rPr>
        <w:t xml:space="preserve"> qualitatively using descriptive-analytical methods to obtain systematic conclusions in accordance with the research problem.</w:t>
      </w:r>
    </w:p>
    <w:p w14:paraId="524DE090" w14:textId="77777777" w:rsidR="00CE67B5" w:rsidRPr="00CE67B5" w:rsidRDefault="00CE67B5" w:rsidP="00CE67B5">
      <w:pPr>
        <w:ind w:firstLine="720"/>
        <w:jc w:val="both"/>
        <w:rPr>
          <w:rFonts w:ascii="Times New Roman" w:hAnsi="Times New Roman" w:cs="Times New Roman"/>
        </w:rPr>
      </w:pPr>
    </w:p>
    <w:p w14:paraId="78967BEB" w14:textId="2EB3B641" w:rsidR="00FD0A3C" w:rsidRPr="00FD0A3C" w:rsidRDefault="0009793C" w:rsidP="00FD0A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DISCUSSION</w:t>
      </w:r>
    </w:p>
    <w:p w14:paraId="2419A9BF" w14:textId="45642A33" w:rsidR="00FD0A3C" w:rsidRPr="00FD0A3C" w:rsidRDefault="00FD0A3C" w:rsidP="00FD0A3C">
      <w:pPr>
        <w:rPr>
          <w:rFonts w:ascii="Times New Roman" w:hAnsi="Times New Roman" w:cs="Times New Roman"/>
          <w:b/>
          <w:bCs/>
          <w:i/>
          <w:iCs/>
        </w:rPr>
      </w:pPr>
      <w:r w:rsidRPr="00FD0A3C">
        <w:rPr>
          <w:rFonts w:ascii="Times New Roman" w:hAnsi="Times New Roman" w:cs="Times New Roman"/>
          <w:b/>
          <w:bCs/>
          <w:i/>
          <w:iCs/>
        </w:rPr>
        <w:t>A. Definition of International Investment Arbitration</w:t>
      </w:r>
    </w:p>
    <w:p w14:paraId="5C132A5C" w14:textId="1DCF30E8" w:rsidR="00FD0A3C" w:rsidRPr="008216B8" w:rsidRDefault="005742A4" w:rsidP="005A60A4">
      <w:pPr>
        <w:ind w:firstLine="720"/>
        <w:jc w:val="both"/>
        <w:rPr>
          <w:rFonts w:ascii="Times New Roman" w:hAnsi="Times New Roman" w:cs="Times New Roman"/>
        </w:rPr>
      </w:pPr>
      <w:r w:rsidRPr="005742A4">
        <w:rPr>
          <w:rFonts w:ascii="Times New Roman" w:hAnsi="Times New Roman" w:cs="Times New Roman"/>
        </w:rPr>
        <w:t>International investment arbitration is one of the dispute resolution mechanisms that has developed in international investment law as a means of resolving disputes between foreign investors and host countries. These disputes generally arise due to alleged violations of state obligations as stipulated in international investment agreements and investment contracts made between investors and the state. In contrast to dispute resolution through national courts, international investment arbitration provides a forum that is neutral, independent, and impartial to one party. This mechanism is designed to provide legal certainty to foreign investors in order to obtain protection for investments that have been invested in a country</w:t>
      </w:r>
      <w:r w:rsidR="00FD0A3C" w:rsidRPr="008216B8">
        <w:rPr>
          <w:rFonts w:ascii="Times New Roman" w:hAnsi="Times New Roman" w:cs="Times New Roman"/>
        </w:rPr>
        <w:t>.</w:t>
      </w:r>
      <w:r w:rsidR="00E70890">
        <w:rPr>
          <w:rStyle w:val="FootnoteReference"/>
          <w:rFonts w:ascii="Times New Roman" w:hAnsi="Times New Roman" w:cs="Times New Roman"/>
        </w:rPr>
        <w:footnoteReference w:id="6"/>
      </w:r>
    </w:p>
    <w:p w14:paraId="30C198F8" w14:textId="0FB614AC" w:rsidR="00FD0A3C" w:rsidRPr="008216B8" w:rsidRDefault="005742A4" w:rsidP="005A60A4">
      <w:pPr>
        <w:ind w:firstLine="720"/>
        <w:jc w:val="both"/>
        <w:rPr>
          <w:rFonts w:ascii="Times New Roman" w:hAnsi="Times New Roman" w:cs="Times New Roman"/>
        </w:rPr>
      </w:pPr>
      <w:r w:rsidRPr="005742A4">
        <w:rPr>
          <w:rFonts w:ascii="Times New Roman" w:hAnsi="Times New Roman" w:cs="Times New Roman"/>
        </w:rPr>
        <w:t>In practice, international investment arbitration is based on the consent of the parties (</w:t>
      </w:r>
      <w:r w:rsidRPr="005742A4">
        <w:rPr>
          <w:rFonts w:ascii="Times New Roman" w:hAnsi="Times New Roman" w:cs="Times New Roman"/>
          <w:i/>
          <w:iCs/>
        </w:rPr>
        <w:t>consent to arbitration</w:t>
      </w:r>
      <w:r w:rsidRPr="005742A4">
        <w:rPr>
          <w:rFonts w:ascii="Times New Roman" w:hAnsi="Times New Roman" w:cs="Times New Roman"/>
        </w:rPr>
        <w:t>). Such consent can be granted through various legal instruments, such as Bilateral Investment Treaties (BITs), Multilateral Investment Treaties (MITs), investment provisions in Free Trade Agreements (FTAs), and arbitration clauses included in investment contracts. With this agreement, investors have the right to file a lawsuit directly against the state if the state is considered to have violated international obligations that provide protection for investments. The existence of this mechanism indicates an important development in international law, because previously individuals or legal entities generally did not have a direct standing to sue the state in international forums without going through diplomatic protection from their country of origi</w:t>
      </w:r>
      <w:r w:rsidR="00645D9D">
        <w:rPr>
          <w:rFonts w:ascii="Times New Roman" w:hAnsi="Times New Roman" w:cs="Times New Roman"/>
        </w:rPr>
        <w:t>n</w:t>
      </w:r>
      <w:r w:rsidR="00FD0A3C" w:rsidRPr="008216B8">
        <w:rPr>
          <w:rFonts w:ascii="Times New Roman" w:hAnsi="Times New Roman" w:cs="Times New Roman"/>
        </w:rPr>
        <w:t>.</w:t>
      </w:r>
      <w:r w:rsidR="00E70890">
        <w:rPr>
          <w:rStyle w:val="FootnoteReference"/>
          <w:rFonts w:ascii="Times New Roman" w:hAnsi="Times New Roman" w:cs="Times New Roman"/>
        </w:rPr>
        <w:footnoteReference w:id="7"/>
      </w:r>
    </w:p>
    <w:p w14:paraId="65008184" w14:textId="72C24B56" w:rsidR="005742A4" w:rsidRPr="008216B8" w:rsidRDefault="005742A4" w:rsidP="005742A4">
      <w:pPr>
        <w:ind w:firstLine="720"/>
        <w:jc w:val="both"/>
        <w:rPr>
          <w:rFonts w:ascii="Times New Roman" w:hAnsi="Times New Roman" w:cs="Times New Roman"/>
        </w:rPr>
      </w:pPr>
      <w:r w:rsidRPr="005742A4">
        <w:rPr>
          <w:rFonts w:ascii="Times New Roman" w:hAnsi="Times New Roman" w:cs="Times New Roman"/>
        </w:rPr>
        <w:t>International investment arbitration has different characteristics from international commercial arbitration. Commercial arbitration generally resolves disputes between two private parties who have a contractual relationship, while investment arbitration involves the state as one of the parties to the dispute. Therefore, the disputes that are resolved are not only related to the implementation of the content of the contract, but also to the implementation of state obligations under international law. The arbitration tribunal will assess whether the government's actions are in accordance with the investment protection standards set out in international agreements, such as the principles of Fair and Equitable Treatment, Full Protection and Security, National Treatment, Most Favoured Nation Treatment, and provisions on expropriatio</w:t>
      </w:r>
      <w:r>
        <w:rPr>
          <w:rFonts w:ascii="Times New Roman" w:hAnsi="Times New Roman" w:cs="Times New Roman"/>
        </w:rPr>
        <w:t>n</w:t>
      </w:r>
      <w:r w:rsidR="00FD0A3C" w:rsidRPr="008216B8">
        <w:rPr>
          <w:rFonts w:ascii="Times New Roman" w:hAnsi="Times New Roman" w:cs="Times New Roman"/>
        </w:rPr>
        <w:t>.</w:t>
      </w:r>
      <w:r w:rsidR="00E70890">
        <w:rPr>
          <w:rStyle w:val="FootnoteReference"/>
          <w:rFonts w:ascii="Times New Roman" w:hAnsi="Times New Roman" w:cs="Times New Roman"/>
        </w:rPr>
        <w:footnoteReference w:id="8"/>
      </w:r>
    </w:p>
    <w:p w14:paraId="75D282EF" w14:textId="77777777" w:rsidR="002B14D1" w:rsidRDefault="005742A4" w:rsidP="005A60A4">
      <w:pPr>
        <w:ind w:firstLine="720"/>
        <w:jc w:val="both"/>
        <w:rPr>
          <w:rFonts w:ascii="Times New Roman" w:hAnsi="Times New Roman" w:cs="Times New Roman"/>
        </w:rPr>
      </w:pPr>
      <w:r w:rsidRPr="005742A4">
        <w:rPr>
          <w:rFonts w:ascii="Times New Roman" w:hAnsi="Times New Roman" w:cs="Times New Roman"/>
        </w:rPr>
        <w:t>The development of international investment arbitration cannot be separated from the birth of the Convention on the Settlement of Investment Disputes between States and Nationals of Other States (ICSID Convention) in 1965. This convention was established on the initiative of the World Bank Group as an effort to create an investment dispute resolution mechanism that is neutral, independent, and has legal certainty. The main objective of the establishment of ICSID is to increase foreign investors' confidence in the investee countries through the provision of a dispute resolution forum that is free from the influence of the national judicial system. To date, ICSID is the most widely used international investment arbitration institution in resolving disputes between investors and countries</w:t>
      </w:r>
      <w:r w:rsidR="00FD0A3C" w:rsidRPr="008216B8">
        <w:rPr>
          <w:rFonts w:ascii="Times New Roman" w:hAnsi="Times New Roman" w:cs="Times New Roman"/>
        </w:rPr>
        <w:t>.</w:t>
      </w:r>
      <w:r w:rsidR="00E70890">
        <w:rPr>
          <w:rStyle w:val="FootnoteReference"/>
          <w:rFonts w:ascii="Times New Roman" w:hAnsi="Times New Roman" w:cs="Times New Roman"/>
        </w:rPr>
        <w:footnoteReference w:id="9"/>
      </w:r>
      <w:r>
        <w:rPr>
          <w:rFonts w:ascii="Times New Roman" w:hAnsi="Times New Roman" w:cs="Times New Roman"/>
        </w:rPr>
        <w:t xml:space="preserve"> </w:t>
      </w:r>
      <w:r w:rsidR="002B14D1" w:rsidRPr="002B14D1">
        <w:rPr>
          <w:rFonts w:ascii="Times New Roman" w:hAnsi="Times New Roman" w:cs="Times New Roman"/>
        </w:rPr>
        <w:t>This is illustrated by one of the earliest disputes registered before ICSID, in which the tribunal's handling of provisional measures demonstrated in practice how the Convention's institutional framework operates to accommodate direct claims by investors against a host state (</w:t>
      </w:r>
      <w:r w:rsidR="002B14D1" w:rsidRPr="002B14D1">
        <w:rPr>
          <w:rFonts w:ascii="Times New Roman" w:hAnsi="Times New Roman" w:cs="Times New Roman"/>
          <w:i/>
          <w:iCs/>
        </w:rPr>
        <w:t>Holiday Inns S.A. and Others v. Kingdom of Morocco</w:t>
      </w:r>
      <w:r w:rsidR="002B14D1" w:rsidRPr="002B14D1">
        <w:rPr>
          <w:rFonts w:ascii="Times New Roman" w:hAnsi="Times New Roman" w:cs="Times New Roman"/>
        </w:rPr>
        <w:t>, ICSID Case No. ARB/72/1, Decision on Provisional Measures, 2 July 1972).</w:t>
      </w:r>
    </w:p>
    <w:p w14:paraId="28FB4ABC" w14:textId="31CBF2E1" w:rsidR="00FD0A3C" w:rsidRPr="008216B8" w:rsidRDefault="005742A4" w:rsidP="005A60A4">
      <w:pPr>
        <w:ind w:firstLine="720"/>
        <w:jc w:val="both"/>
        <w:rPr>
          <w:rFonts w:ascii="Times New Roman" w:hAnsi="Times New Roman" w:cs="Times New Roman"/>
        </w:rPr>
      </w:pPr>
      <w:r w:rsidRPr="005742A4">
        <w:rPr>
          <w:rFonts w:ascii="Times New Roman" w:hAnsi="Times New Roman" w:cs="Times New Roman"/>
        </w:rPr>
        <w:t>In addition to ICSID, investment dispute resolution can also be carried out through the UNCITRAL Arbitration Rules, the Permanent Court of Arbitration (PCA), and various other international arbitration institutions in accordance with the agreement of the parties. Such flexibility gives investors and countries the option to determine which dispute resolution forum they consider best suited to their needs. In practice, many international investment agreements give investors the option to choose which arbitration forum to use, thereby strengthening the protection of investors' rights in conducting cross-border investment activities</w:t>
      </w:r>
      <w:r w:rsidR="00FD0A3C" w:rsidRPr="008216B8">
        <w:rPr>
          <w:rFonts w:ascii="Times New Roman" w:hAnsi="Times New Roman" w:cs="Times New Roman"/>
        </w:rPr>
        <w:t>.</w:t>
      </w:r>
      <w:r w:rsidR="00E70890">
        <w:rPr>
          <w:rStyle w:val="FootnoteReference"/>
          <w:rFonts w:ascii="Times New Roman" w:hAnsi="Times New Roman" w:cs="Times New Roman"/>
        </w:rPr>
        <w:footnoteReference w:id="10"/>
      </w:r>
      <w:r>
        <w:rPr>
          <w:rFonts w:ascii="Times New Roman" w:hAnsi="Times New Roman" w:cs="Times New Roman"/>
        </w:rPr>
        <w:t xml:space="preserve"> </w:t>
      </w:r>
      <w:r w:rsidR="002B14D1" w:rsidRPr="002B14D1">
        <w:rPr>
          <w:rFonts w:ascii="Times New Roman" w:hAnsi="Times New Roman" w:cs="Times New Roman"/>
        </w:rPr>
        <w:t xml:space="preserve">A notable example of how disputes may proceed outside the ICSID framework while still producing an award binding on the host state is </w:t>
      </w:r>
      <w:r w:rsidR="002B14D1" w:rsidRPr="002B14D1">
        <w:rPr>
          <w:rFonts w:ascii="Times New Roman" w:hAnsi="Times New Roman" w:cs="Times New Roman"/>
          <w:i/>
          <w:iCs/>
        </w:rPr>
        <w:t>CME Czech Republic B.V. v. Czech Republic</w:t>
      </w:r>
      <w:r w:rsidR="002B14D1" w:rsidRPr="002B14D1">
        <w:rPr>
          <w:rFonts w:ascii="Times New Roman" w:hAnsi="Times New Roman" w:cs="Times New Roman"/>
        </w:rPr>
        <w:t xml:space="preserve"> (UNCITRAL, Final Award, 14 March 2003)</w:t>
      </w:r>
      <w:r w:rsidRPr="005742A4">
        <w:rPr>
          <w:rFonts w:ascii="Times New Roman" w:hAnsi="Times New Roman" w:cs="Times New Roman"/>
        </w:rPr>
        <w:t>.</w:t>
      </w:r>
    </w:p>
    <w:p w14:paraId="00FCB347" w14:textId="77777777" w:rsidR="002B14D1" w:rsidRDefault="005742A4" w:rsidP="005742A4">
      <w:pPr>
        <w:ind w:firstLine="720"/>
        <w:jc w:val="both"/>
        <w:rPr>
          <w:rFonts w:ascii="Times New Roman" w:hAnsi="Times New Roman" w:cs="Times New Roman"/>
          <w:i/>
          <w:iCs/>
        </w:rPr>
      </w:pPr>
      <w:r w:rsidRPr="005742A4">
        <w:rPr>
          <w:rFonts w:ascii="Times New Roman" w:hAnsi="Times New Roman" w:cs="Times New Roman"/>
        </w:rPr>
        <w:t>One of the most important developments in international investment arbitration was the birth of the Investor-State Dispute Settlement (ISDS) mechanism. Through this mechanism, foreign investors are given the right to file a lawsuit directly against the recipient country if the government's policies or actions are deemed to be contrary to international obligations contained in the investment agreement. The presence of ISDS is a breakthrough in international law because it reduces investors' dependence on diplomatic protection mechanisms that were previously the only way to resolve disputes. Thus, investors have more effective access to dispute resolution through international arbitration tribunals</w:t>
      </w:r>
      <w:r w:rsidR="00FD0A3C" w:rsidRPr="008216B8">
        <w:rPr>
          <w:rFonts w:ascii="Times New Roman" w:hAnsi="Times New Roman" w:cs="Times New Roman"/>
        </w:rPr>
        <w:t>.</w:t>
      </w:r>
      <w:r w:rsidR="00E70890">
        <w:rPr>
          <w:rStyle w:val="FootnoteReference"/>
          <w:rFonts w:ascii="Times New Roman" w:hAnsi="Times New Roman" w:cs="Times New Roman"/>
        </w:rPr>
        <w:footnoteReference w:id="11"/>
      </w:r>
      <w:r>
        <w:rPr>
          <w:rFonts w:ascii="Times New Roman" w:hAnsi="Times New Roman" w:cs="Times New Roman"/>
        </w:rPr>
        <w:t xml:space="preserve"> </w:t>
      </w:r>
      <w:r w:rsidR="002B14D1" w:rsidRPr="002B14D1">
        <w:rPr>
          <w:rFonts w:ascii="Times New Roman" w:hAnsi="Times New Roman" w:cs="Times New Roman"/>
          <w:i/>
          <w:iCs/>
        </w:rPr>
        <w:t xml:space="preserve">A landmark illustration of ISDS in operation is </w:t>
      </w:r>
      <w:proofErr w:type="spellStart"/>
      <w:r w:rsidR="002B14D1" w:rsidRPr="002B14D1">
        <w:rPr>
          <w:rFonts w:ascii="Times New Roman" w:hAnsi="Times New Roman" w:cs="Times New Roman"/>
          <w:i/>
          <w:iCs/>
        </w:rPr>
        <w:t>Metalclad</w:t>
      </w:r>
      <w:proofErr w:type="spellEnd"/>
      <w:r w:rsidR="002B14D1" w:rsidRPr="002B14D1">
        <w:rPr>
          <w:rFonts w:ascii="Times New Roman" w:hAnsi="Times New Roman" w:cs="Times New Roman"/>
          <w:i/>
          <w:iCs/>
        </w:rPr>
        <w:t xml:space="preserve"> Corporation v. United Mexican States (ICSID Case No. ARB(AF)/97/1, Award, 30 August 2000, (2001) 40 ILM 36), in which the tribunal held Mexico liable for measures amounting to indirect expropriation of the investor's landfill project.</w:t>
      </w:r>
    </w:p>
    <w:p w14:paraId="5E696126" w14:textId="77777777" w:rsidR="002B14D1" w:rsidRDefault="005742A4" w:rsidP="005A60A4">
      <w:pPr>
        <w:ind w:firstLine="720"/>
        <w:jc w:val="both"/>
        <w:rPr>
          <w:rFonts w:ascii="Times New Roman" w:hAnsi="Times New Roman" w:cs="Times New Roman"/>
        </w:rPr>
      </w:pPr>
      <w:r w:rsidRPr="005742A4">
        <w:rPr>
          <w:rFonts w:ascii="Times New Roman" w:hAnsi="Times New Roman" w:cs="Times New Roman"/>
        </w:rPr>
        <w:t>However, the development of international investment arbitration has also given rise to various debates. Many people consider that the ISDS mechanism tends to provide greater protection to investors than the state. In some arbitration awards, the state is required to pay a very large amount of compensation due to government policies that are considered to be in violation of investment protection standards. This condition raises concerns that the state has become reluctant to set public policies for fear of facing arbitration lawsuits and the obligation to pay large compensation. This phenomenon is known as regulatory chill, which is a situation when the government limits or delays public policy due to concerns about potential investor lawsuits</w:t>
      </w:r>
      <w:r w:rsidR="00FD0A3C" w:rsidRPr="008216B8">
        <w:rPr>
          <w:rFonts w:ascii="Times New Roman" w:hAnsi="Times New Roman" w:cs="Times New Roman"/>
        </w:rPr>
        <w:t>.</w:t>
      </w:r>
      <w:r w:rsidR="00E70890">
        <w:rPr>
          <w:rStyle w:val="FootnoteReference"/>
          <w:rFonts w:ascii="Times New Roman" w:hAnsi="Times New Roman" w:cs="Times New Roman"/>
        </w:rPr>
        <w:footnoteReference w:id="12"/>
      </w:r>
      <w:r>
        <w:rPr>
          <w:rFonts w:ascii="Times New Roman" w:hAnsi="Times New Roman" w:cs="Times New Roman"/>
        </w:rPr>
        <w:t xml:space="preserve"> </w:t>
      </w:r>
      <w:r w:rsidR="002B14D1" w:rsidRPr="002B14D1">
        <w:rPr>
          <w:rFonts w:ascii="Times New Roman" w:hAnsi="Times New Roman" w:cs="Times New Roman"/>
        </w:rPr>
        <w:t xml:space="preserve">The disputes in </w:t>
      </w:r>
      <w:r w:rsidR="002B14D1" w:rsidRPr="002B14D1">
        <w:rPr>
          <w:rFonts w:ascii="Times New Roman" w:hAnsi="Times New Roman" w:cs="Times New Roman"/>
          <w:i/>
          <w:iCs/>
        </w:rPr>
        <w:t>Philip Morris Asia Limited v. Commonwealth of Australia</w:t>
      </w:r>
      <w:r w:rsidR="002B14D1" w:rsidRPr="002B14D1">
        <w:rPr>
          <w:rFonts w:ascii="Times New Roman" w:hAnsi="Times New Roman" w:cs="Times New Roman"/>
        </w:rPr>
        <w:t xml:space="preserve"> and </w:t>
      </w:r>
      <w:r w:rsidR="002B14D1" w:rsidRPr="002B14D1">
        <w:rPr>
          <w:rFonts w:ascii="Times New Roman" w:hAnsi="Times New Roman" w:cs="Times New Roman"/>
          <w:i/>
          <w:iCs/>
        </w:rPr>
        <w:t>Vattenfall AB and Others v. Federal Republic of Germany</w:t>
      </w:r>
      <w:r w:rsidR="002B14D1" w:rsidRPr="002B14D1">
        <w:rPr>
          <w:rFonts w:ascii="Times New Roman" w:hAnsi="Times New Roman" w:cs="Times New Roman"/>
        </w:rPr>
        <w:t>, both referred to earlier, are frequently invoked in the literature as examples of the kind of high-value claims that give rise to regulatory chill concerns.</w:t>
      </w:r>
    </w:p>
    <w:p w14:paraId="6BC7A2C4" w14:textId="7AE7DF2E" w:rsidR="002B14D1" w:rsidRDefault="005742A4" w:rsidP="005A60A4">
      <w:pPr>
        <w:ind w:firstLine="720"/>
        <w:jc w:val="both"/>
        <w:rPr>
          <w:rFonts w:ascii="Times New Roman" w:hAnsi="Times New Roman" w:cs="Times New Roman"/>
        </w:rPr>
      </w:pPr>
      <w:r w:rsidRPr="005742A4">
        <w:rPr>
          <w:rFonts w:ascii="Times New Roman" w:hAnsi="Times New Roman" w:cs="Times New Roman"/>
        </w:rPr>
        <w:t>Criticism of investment arbitration also arises because the dispute resolution process is often perceived as lacking transparency and gives arbitration tribunals a very wide range of interpretation. Some concepts, such as Fair and Equitable Treatment (FET), do not have strict boundaries so that the tribunal's decision can differ from one case to another. These differences in interpretation create legal uncertainty, both for investors and the state. Therefore, various international organizations and countries have begun to push for reform of the investment arbitration system to be more transparent, accountable, and able to create a balance between investor protection and the public interest</w:t>
      </w:r>
      <w:r w:rsidR="0098277B">
        <w:rPr>
          <w:rFonts w:ascii="Times New Roman" w:hAnsi="Times New Roman" w:cs="Times New Roman"/>
        </w:rPr>
        <w:t xml:space="preserve"> </w:t>
      </w:r>
      <w:r w:rsidR="0098277B">
        <w:rPr>
          <w:rStyle w:val="FootnoteReference"/>
          <w:rFonts w:ascii="Times New Roman" w:hAnsi="Times New Roman" w:cs="Times New Roman"/>
        </w:rPr>
        <w:footnoteReference w:id="13"/>
      </w:r>
      <w:r w:rsidR="0098277B">
        <w:t xml:space="preserve">. </w:t>
      </w:r>
      <w:r w:rsidR="002B14D1" w:rsidRPr="002B14D1">
        <w:rPr>
          <w:rFonts w:ascii="Times New Roman" w:hAnsi="Times New Roman" w:cs="Times New Roman"/>
        </w:rPr>
        <w:t xml:space="preserve">This inconsistency is well illustrated by </w:t>
      </w:r>
      <w:proofErr w:type="spellStart"/>
      <w:r w:rsidR="002B14D1" w:rsidRPr="002B14D1">
        <w:rPr>
          <w:rFonts w:ascii="Times New Roman" w:hAnsi="Times New Roman" w:cs="Times New Roman"/>
          <w:i/>
          <w:iCs/>
        </w:rPr>
        <w:t>Técnicas</w:t>
      </w:r>
      <w:proofErr w:type="spellEnd"/>
      <w:r w:rsidR="002B14D1" w:rsidRPr="002B14D1">
        <w:rPr>
          <w:rFonts w:ascii="Times New Roman" w:hAnsi="Times New Roman" w:cs="Times New Roman"/>
          <w:i/>
          <w:iCs/>
        </w:rPr>
        <w:t xml:space="preserve"> </w:t>
      </w:r>
      <w:proofErr w:type="spellStart"/>
      <w:r w:rsidR="002B14D1" w:rsidRPr="002B14D1">
        <w:rPr>
          <w:rFonts w:ascii="Times New Roman" w:hAnsi="Times New Roman" w:cs="Times New Roman"/>
          <w:i/>
          <w:iCs/>
        </w:rPr>
        <w:t>Medioambientales</w:t>
      </w:r>
      <w:proofErr w:type="spellEnd"/>
      <w:r w:rsidR="002B14D1" w:rsidRPr="002B14D1">
        <w:rPr>
          <w:rFonts w:ascii="Times New Roman" w:hAnsi="Times New Roman" w:cs="Times New Roman"/>
          <w:i/>
          <w:iCs/>
        </w:rPr>
        <w:t xml:space="preserve"> </w:t>
      </w:r>
      <w:proofErr w:type="spellStart"/>
      <w:r w:rsidR="002B14D1" w:rsidRPr="002B14D1">
        <w:rPr>
          <w:rFonts w:ascii="Times New Roman" w:hAnsi="Times New Roman" w:cs="Times New Roman"/>
          <w:i/>
          <w:iCs/>
        </w:rPr>
        <w:t>Tecmed</w:t>
      </w:r>
      <w:proofErr w:type="spellEnd"/>
      <w:r w:rsidR="002B14D1" w:rsidRPr="002B14D1">
        <w:rPr>
          <w:rFonts w:ascii="Times New Roman" w:hAnsi="Times New Roman" w:cs="Times New Roman"/>
          <w:i/>
          <w:iCs/>
        </w:rPr>
        <w:t xml:space="preserve"> S.A. v. United Mexican States</w:t>
      </w:r>
      <w:r w:rsidR="002B14D1" w:rsidRPr="002B14D1">
        <w:rPr>
          <w:rFonts w:ascii="Times New Roman" w:hAnsi="Times New Roman" w:cs="Times New Roman"/>
        </w:rPr>
        <w:t xml:space="preserve"> (ICSID Case No. ARB(AF)/00/2, Award, 29 May 2003, (2004) 43 ILM 133), in which the tribunal adopted a broad, investor-favourable reading of the FET standard that has since been criticised and distinguished by later tribunals applying a narrower interpretation.</w:t>
      </w:r>
    </w:p>
    <w:p w14:paraId="3CF204A8" w14:textId="64BC3B80" w:rsidR="00FD0A3C" w:rsidRPr="008216B8" w:rsidRDefault="005742A4" w:rsidP="005A60A4">
      <w:pPr>
        <w:ind w:firstLine="720"/>
        <w:jc w:val="both"/>
        <w:rPr>
          <w:rFonts w:ascii="Times New Roman" w:hAnsi="Times New Roman" w:cs="Times New Roman"/>
        </w:rPr>
      </w:pPr>
      <w:r w:rsidRPr="005742A4">
        <w:rPr>
          <w:rFonts w:ascii="Times New Roman" w:hAnsi="Times New Roman" w:cs="Times New Roman"/>
        </w:rPr>
        <w:t>In its development, various modern investment agreements have begun to accommodate the state's right to regulate, especially in the fields of environment, public health, employment, national security, and sustainable development. The recognition of this right shows that investment protection is no longer seen as an absolute goal, but must go hand in hand with the state's obligation to protect the interests of the community. Thus, international investment arbitration not only serves as an instrument of investor protection, but must also be able to maintain a balance between economic interests and public interests.</w:t>
      </w:r>
      <w:r w:rsidR="00E70890">
        <w:rPr>
          <w:rStyle w:val="FootnoteReference"/>
          <w:rFonts w:ascii="Times New Roman" w:hAnsi="Times New Roman" w:cs="Times New Roman"/>
        </w:rPr>
        <w:footnoteReference w:id="14"/>
      </w:r>
    </w:p>
    <w:p w14:paraId="1D54CBC9" w14:textId="551F761B" w:rsidR="00FD0A3C" w:rsidRDefault="005742A4" w:rsidP="005A60A4">
      <w:pPr>
        <w:ind w:firstLine="720"/>
        <w:jc w:val="both"/>
        <w:rPr>
          <w:rFonts w:ascii="Times New Roman" w:hAnsi="Times New Roman" w:cs="Times New Roman"/>
        </w:rPr>
      </w:pPr>
      <w:r w:rsidRPr="005742A4">
        <w:rPr>
          <w:rFonts w:ascii="Times New Roman" w:hAnsi="Times New Roman" w:cs="Times New Roman"/>
        </w:rPr>
        <w:t>Based on this description, it can be understood that international investment arbitration is one of the important pillars in the modern international investment law system. Its existence provides legal certainty for investors through an independent and neutral dispute resolution mechanism, while encouraging the state to create a stable and predictable investment climate. Nevertheless, the effectiveness of international investment arbitration depends heavily on its ability to maintain a balance between protection for investors and respect for the principle of state sovereignty. Therefore, reforms to the international investment arbitration mechanism continue to be carried out so that the system is able to respond to global challenges and support sustainable economic development</w:t>
      </w:r>
      <w:r w:rsidR="00FD0A3C" w:rsidRPr="008216B8">
        <w:rPr>
          <w:rFonts w:ascii="Times New Roman" w:hAnsi="Times New Roman" w:cs="Times New Roman"/>
        </w:rPr>
        <w:t>.</w:t>
      </w:r>
      <w:r w:rsidR="00E70890">
        <w:rPr>
          <w:rStyle w:val="FootnoteReference"/>
          <w:rFonts w:ascii="Times New Roman" w:hAnsi="Times New Roman" w:cs="Times New Roman"/>
        </w:rPr>
        <w:footnoteReference w:id="15"/>
      </w:r>
    </w:p>
    <w:p w14:paraId="75DFD240" w14:textId="77777777" w:rsidR="00FD0A3C" w:rsidRPr="00FD0A3C" w:rsidRDefault="00FD0A3C" w:rsidP="005A60A4">
      <w:pPr>
        <w:spacing w:before="240"/>
        <w:jc w:val="both"/>
        <w:rPr>
          <w:rFonts w:ascii="Times New Roman" w:hAnsi="Times New Roman" w:cs="Times New Roman"/>
          <w:b/>
          <w:bCs/>
          <w:i/>
          <w:iCs/>
        </w:rPr>
      </w:pPr>
      <w:r w:rsidRPr="00FD0A3C">
        <w:rPr>
          <w:rFonts w:ascii="Times New Roman" w:hAnsi="Times New Roman" w:cs="Times New Roman"/>
          <w:b/>
          <w:bCs/>
          <w:i/>
          <w:iCs/>
        </w:rPr>
        <w:t>B. Principles of International Investment Arbitration</w:t>
      </w:r>
    </w:p>
    <w:p w14:paraId="502D3CA2" w14:textId="1D125D42" w:rsidR="00FD0A3C" w:rsidRPr="00FD0A3C" w:rsidRDefault="005742A4" w:rsidP="005A60A4">
      <w:pPr>
        <w:spacing w:before="240"/>
        <w:ind w:firstLine="720"/>
        <w:jc w:val="both"/>
        <w:rPr>
          <w:rFonts w:ascii="Times New Roman" w:hAnsi="Times New Roman" w:cs="Times New Roman"/>
          <w:b/>
          <w:bCs/>
        </w:rPr>
      </w:pPr>
      <w:r w:rsidRPr="005742A4">
        <w:rPr>
          <w:rFonts w:ascii="Times New Roman" w:hAnsi="Times New Roman" w:cs="Times New Roman"/>
        </w:rPr>
        <w:t xml:space="preserve">International investment arbitration is conducted on the basis of a number of basic principles that develop in international law and various investment treaties. These principles serve as guidelines for arbitral tribunals in assessing whether a country has carried out its international obligations to foreign investors. The existence of these principles is also the basis for investors to file a lawsuit if they feel aggrieved by the actions of the </w:t>
      </w:r>
      <w:r w:rsidRPr="005742A4">
        <w:rPr>
          <w:rFonts w:ascii="Times New Roman" w:hAnsi="Times New Roman" w:cs="Times New Roman"/>
          <w:i/>
          <w:iCs/>
        </w:rPr>
        <w:t>host state</w:t>
      </w:r>
      <w:r w:rsidRPr="005742A4">
        <w:rPr>
          <w:rFonts w:ascii="Times New Roman" w:hAnsi="Times New Roman" w:cs="Times New Roman"/>
        </w:rPr>
        <w:t>. In its development, the principles of investment arbitration not only aim to provide protection to investors, but also maintain a balance between legal certainty, economic interests, and respect for state sovereignty</w:t>
      </w:r>
      <w:r w:rsidR="00FD0A3C" w:rsidRPr="00442C0A">
        <w:rPr>
          <w:rFonts w:ascii="Times New Roman" w:hAnsi="Times New Roman" w:cs="Times New Roman"/>
        </w:rPr>
        <w:t>.</w:t>
      </w:r>
      <w:r w:rsidR="00E70890" w:rsidRPr="00E70890">
        <w:rPr>
          <w:rStyle w:val="FootnoteReference"/>
          <w:rFonts w:ascii="Times New Roman" w:hAnsi="Times New Roman" w:cs="Times New Roman"/>
        </w:rPr>
        <w:footnoteReference w:id="16"/>
      </w:r>
    </w:p>
    <w:p w14:paraId="727C0065" w14:textId="70E1D738" w:rsidR="00FD0A3C" w:rsidRPr="00442C0A" w:rsidRDefault="005742A4" w:rsidP="005A60A4">
      <w:pPr>
        <w:spacing w:before="240"/>
        <w:ind w:firstLine="720"/>
        <w:jc w:val="both"/>
        <w:rPr>
          <w:rFonts w:ascii="Times New Roman" w:hAnsi="Times New Roman" w:cs="Times New Roman"/>
        </w:rPr>
      </w:pPr>
      <w:r w:rsidRPr="005742A4">
        <w:rPr>
          <w:rFonts w:ascii="Times New Roman" w:hAnsi="Times New Roman" w:cs="Times New Roman"/>
        </w:rPr>
        <w:t xml:space="preserve">The first principle that is the basis in international investment arbitration is </w:t>
      </w:r>
      <w:r w:rsidRPr="005742A4">
        <w:rPr>
          <w:rFonts w:ascii="Times New Roman" w:hAnsi="Times New Roman" w:cs="Times New Roman"/>
          <w:b/>
          <w:bCs/>
        </w:rPr>
        <w:t>Fair and Equitable Treatment</w:t>
      </w:r>
      <w:r w:rsidRPr="005742A4">
        <w:rPr>
          <w:rFonts w:ascii="Times New Roman" w:hAnsi="Times New Roman" w:cs="Times New Roman"/>
        </w:rPr>
        <w:t xml:space="preserve"> (FET). This principle is one of the most important investment protection standards and is the basis for lawsuits in international investment disputes. Basically, FET requires the state to provide fair, reasonable, transparent, consistent, and non-discriminatory treatment to foreign investors. The state is also obliged to respect the </w:t>
      </w:r>
      <w:r w:rsidRPr="005742A4">
        <w:rPr>
          <w:rFonts w:ascii="Times New Roman" w:hAnsi="Times New Roman" w:cs="Times New Roman"/>
          <w:i/>
          <w:iCs/>
        </w:rPr>
        <w:t>legitimate expectations</w:t>
      </w:r>
      <w:r w:rsidRPr="005742A4">
        <w:rPr>
          <w:rFonts w:ascii="Times New Roman" w:hAnsi="Times New Roman" w:cs="Times New Roman"/>
        </w:rPr>
        <w:t xml:space="preserve"> of investors, which are expectations that investors reasonably have based on policies, regulations, and guarantees provided by the state at the time of investment</w:t>
      </w:r>
      <w:r w:rsidR="00FD0A3C" w:rsidRPr="00442C0A">
        <w:rPr>
          <w:rFonts w:ascii="Times New Roman" w:hAnsi="Times New Roman" w:cs="Times New Roman"/>
        </w:rPr>
        <w:t>.</w:t>
      </w:r>
      <w:r w:rsidR="00E70890">
        <w:rPr>
          <w:rStyle w:val="FootnoteReference"/>
          <w:rFonts w:ascii="Times New Roman" w:hAnsi="Times New Roman" w:cs="Times New Roman"/>
        </w:rPr>
        <w:footnoteReference w:id="17"/>
      </w:r>
      <w:r>
        <w:rPr>
          <w:rFonts w:ascii="Times New Roman" w:hAnsi="Times New Roman" w:cs="Times New Roman"/>
        </w:rPr>
        <w:t xml:space="preserve"> </w:t>
      </w:r>
      <w:r w:rsidRPr="005742A4">
        <w:rPr>
          <w:rFonts w:ascii="Times New Roman" w:hAnsi="Times New Roman" w:cs="Times New Roman"/>
        </w:rPr>
        <w:t xml:space="preserve">In </w:t>
      </w:r>
      <w:r w:rsidRPr="005742A4">
        <w:rPr>
          <w:rFonts w:ascii="Times New Roman" w:hAnsi="Times New Roman" w:cs="Times New Roman"/>
          <w:i/>
          <w:iCs/>
        </w:rPr>
        <w:t>Waste Management, Inc. v. United Mexican States (II)</w:t>
      </w:r>
      <w:r w:rsidRPr="005742A4">
        <w:rPr>
          <w:rFonts w:ascii="Times New Roman" w:hAnsi="Times New Roman" w:cs="Times New Roman"/>
        </w:rPr>
        <w:t xml:space="preserve"> (ICSID Case No. ARB(AF)/00/3), the tribunal articulated a widely cited formulation of FET, holding that a breach occurs where state conduct is arbitrary, grossly unfair, discriminatory, or exposes the investor to sectional or racial prejudice, or involves a lack of due process.</w:t>
      </w:r>
    </w:p>
    <w:p w14:paraId="1A2811F6" w14:textId="1C4776DB" w:rsidR="00FD0A3C" w:rsidRPr="00442C0A" w:rsidRDefault="005742A4" w:rsidP="005A60A4">
      <w:pPr>
        <w:spacing w:before="240"/>
        <w:ind w:firstLine="720"/>
        <w:jc w:val="both"/>
        <w:rPr>
          <w:rFonts w:ascii="Times New Roman" w:hAnsi="Times New Roman" w:cs="Times New Roman"/>
        </w:rPr>
      </w:pPr>
      <w:r w:rsidRPr="005742A4">
        <w:rPr>
          <w:rFonts w:ascii="Times New Roman" w:hAnsi="Times New Roman" w:cs="Times New Roman"/>
        </w:rPr>
        <w:t>In international arbitration practice, violations of the FET principles can occur when the government changes policy abruptly for no apparent reason, applies regulations in a discriminatory manner, or takes arbitrary administrative actions that cause losses to investors. However, until now there has been no uniform limit on the scope of FET principles. Each arbitration tribunal may give a different interpretation according to the facts and provisions of the investment agreement on which the dispute is based. These differences in interpretation often cause legal uncertainty and are one of the main reasons for the emergence of demands for reform of the international investment arbitration system</w:t>
      </w:r>
      <w:r w:rsidR="00FD0A3C" w:rsidRPr="00442C0A">
        <w:rPr>
          <w:rFonts w:ascii="Times New Roman" w:hAnsi="Times New Roman" w:cs="Times New Roman"/>
        </w:rPr>
        <w:t>.</w:t>
      </w:r>
      <w:r w:rsidR="00E70890">
        <w:rPr>
          <w:rStyle w:val="FootnoteReference"/>
          <w:rFonts w:ascii="Times New Roman" w:hAnsi="Times New Roman" w:cs="Times New Roman"/>
        </w:rPr>
        <w:footnoteReference w:id="18"/>
      </w:r>
      <w:r w:rsidR="002B14D1">
        <w:rPr>
          <w:rFonts w:ascii="Times New Roman" w:hAnsi="Times New Roman" w:cs="Times New Roman"/>
        </w:rPr>
        <w:t xml:space="preserve"> </w:t>
      </w:r>
      <w:r w:rsidR="002B14D1" w:rsidRPr="002B14D1">
        <w:rPr>
          <w:rFonts w:ascii="Times New Roman" w:hAnsi="Times New Roman" w:cs="Times New Roman"/>
        </w:rPr>
        <w:t xml:space="preserve">In </w:t>
      </w:r>
      <w:r w:rsidR="002B14D1" w:rsidRPr="002B14D1">
        <w:rPr>
          <w:rFonts w:ascii="Times New Roman" w:hAnsi="Times New Roman" w:cs="Times New Roman"/>
          <w:i/>
          <w:iCs/>
        </w:rPr>
        <w:t>Waste Management, Inc. v. United Mexican States (II)</w:t>
      </w:r>
      <w:r w:rsidR="002B14D1" w:rsidRPr="002B14D1">
        <w:rPr>
          <w:rFonts w:ascii="Times New Roman" w:hAnsi="Times New Roman" w:cs="Times New Roman"/>
        </w:rPr>
        <w:t xml:space="preserve"> (ICSID Case No. ARB(AF)/00/3, Award, 30 April 2004), the tribunal articulated a widely cited formulation of FET, holding that a breach occurs where state conduct is arbitrary, grossly unfair, discriminatory, or exposes the investor to sectional or racial prejudice, or involves a lack of due process.</w:t>
      </w:r>
    </w:p>
    <w:p w14:paraId="0E45DA2B" w14:textId="4CA4D295" w:rsidR="00FD0A3C" w:rsidRPr="00442C0A" w:rsidRDefault="00FD0A3C" w:rsidP="005A60A4">
      <w:pPr>
        <w:spacing w:before="240"/>
        <w:ind w:firstLine="720"/>
        <w:jc w:val="both"/>
        <w:rPr>
          <w:rFonts w:ascii="Times New Roman" w:hAnsi="Times New Roman" w:cs="Times New Roman"/>
        </w:rPr>
      </w:pPr>
      <w:r w:rsidRPr="00442C0A">
        <w:rPr>
          <w:rFonts w:ascii="Times New Roman" w:hAnsi="Times New Roman" w:cs="Times New Roman"/>
        </w:rPr>
        <w:t xml:space="preserve">The next principle is </w:t>
      </w:r>
      <w:r w:rsidRPr="00442C0A">
        <w:rPr>
          <w:rFonts w:ascii="Times New Roman" w:hAnsi="Times New Roman" w:cs="Times New Roman"/>
          <w:b/>
          <w:bCs/>
        </w:rPr>
        <w:t>Full Protection and Security</w:t>
      </w:r>
      <w:r w:rsidRPr="00442C0A">
        <w:rPr>
          <w:rFonts w:ascii="Times New Roman" w:hAnsi="Times New Roman" w:cs="Times New Roman"/>
        </w:rPr>
        <w:t xml:space="preserve"> (FPS). This principle requires the state to provide full protection for the security of foreign investments, both physical security and legal security. Initially, the FPS principle was only interpreted as the state's obligation to protect investors' assets from third-party interference, such as riots, armed conflicts, and criminal acts. However, the development of arbitration practice shows that the scope of this principle is getting wider, which includes the obligation of the state to create a legal system that is able to provide protection for the legal interests of investors and ensure regulatory stability related to investment activities.</w:t>
      </w:r>
      <w:r w:rsidR="00E70890">
        <w:rPr>
          <w:rStyle w:val="FootnoteReference"/>
          <w:rFonts w:ascii="Times New Roman" w:hAnsi="Times New Roman" w:cs="Times New Roman"/>
        </w:rPr>
        <w:footnoteReference w:id="19"/>
      </w:r>
      <w:r w:rsidR="005742A4">
        <w:rPr>
          <w:rFonts w:ascii="Times New Roman" w:hAnsi="Times New Roman" w:cs="Times New Roman"/>
        </w:rPr>
        <w:t xml:space="preserve"> </w:t>
      </w:r>
      <w:r w:rsidR="005742A4" w:rsidRPr="005742A4">
        <w:rPr>
          <w:rFonts w:ascii="Times New Roman" w:hAnsi="Times New Roman" w:cs="Times New Roman"/>
        </w:rPr>
        <w:t xml:space="preserve">This evolution can be traced back to </w:t>
      </w:r>
      <w:r w:rsidR="005742A4" w:rsidRPr="005742A4">
        <w:rPr>
          <w:rFonts w:ascii="Times New Roman" w:hAnsi="Times New Roman" w:cs="Times New Roman"/>
          <w:i/>
          <w:iCs/>
        </w:rPr>
        <w:t>Asian Agricultural Products Ltd (AAPL) v. Republic of Sri Lanka</w:t>
      </w:r>
      <w:r w:rsidR="005742A4" w:rsidRPr="005742A4">
        <w:rPr>
          <w:rFonts w:ascii="Times New Roman" w:hAnsi="Times New Roman" w:cs="Times New Roman"/>
        </w:rPr>
        <w:t xml:space="preserve"> (ICSID Case No. ARB/87/3), one of the earliest ICSID awards to address FPS, in which the tribunal found the state liable for failing to exercise due diligence in protecting the investor's property during a military operation.</w:t>
      </w:r>
    </w:p>
    <w:p w14:paraId="400B754A" w14:textId="77777777" w:rsidR="00495F16" w:rsidRDefault="00FD0A3C" w:rsidP="005A60A4">
      <w:pPr>
        <w:spacing w:before="240"/>
        <w:ind w:firstLine="720"/>
        <w:jc w:val="both"/>
        <w:rPr>
          <w:rFonts w:ascii="Times New Roman" w:hAnsi="Times New Roman" w:cs="Times New Roman"/>
          <w:i/>
          <w:iCs/>
        </w:rPr>
      </w:pPr>
      <w:r w:rsidRPr="00442C0A">
        <w:rPr>
          <w:rFonts w:ascii="Times New Roman" w:hAnsi="Times New Roman" w:cs="Times New Roman"/>
        </w:rPr>
        <w:t xml:space="preserve">Furthermore, there is the </w:t>
      </w:r>
      <w:proofErr w:type="gramStart"/>
      <w:r w:rsidRPr="00442C0A">
        <w:rPr>
          <w:rFonts w:ascii="Times New Roman" w:hAnsi="Times New Roman" w:cs="Times New Roman"/>
        </w:rPr>
        <w:t xml:space="preserve">principle </w:t>
      </w:r>
      <w:r w:rsidRPr="00442C0A">
        <w:rPr>
          <w:rFonts w:ascii="Times New Roman" w:hAnsi="Times New Roman" w:cs="Times New Roman"/>
          <w:b/>
          <w:bCs/>
        </w:rPr>
        <w:t xml:space="preserve"> of</w:t>
      </w:r>
      <w:proofErr w:type="gramEnd"/>
      <w:r w:rsidRPr="00442C0A">
        <w:rPr>
          <w:rFonts w:ascii="Times New Roman" w:hAnsi="Times New Roman" w:cs="Times New Roman"/>
          <w:b/>
          <w:bCs/>
        </w:rPr>
        <w:t xml:space="preserve"> National Treatment</w:t>
      </w:r>
      <w:r w:rsidRPr="00442C0A">
        <w:rPr>
          <w:rFonts w:ascii="Times New Roman" w:hAnsi="Times New Roman" w:cs="Times New Roman"/>
        </w:rPr>
        <w:t xml:space="preserve">, which is the state's obligation to provide treatment to foreign investors that is no less </w:t>
      </w:r>
      <w:proofErr w:type="spellStart"/>
      <w:r w:rsidRPr="00442C0A">
        <w:rPr>
          <w:rFonts w:ascii="Times New Roman" w:hAnsi="Times New Roman" w:cs="Times New Roman"/>
        </w:rPr>
        <w:t>favorable</w:t>
      </w:r>
      <w:proofErr w:type="spellEnd"/>
      <w:r w:rsidRPr="00442C0A">
        <w:rPr>
          <w:rFonts w:ascii="Times New Roman" w:hAnsi="Times New Roman" w:cs="Times New Roman"/>
        </w:rPr>
        <w:t xml:space="preserve"> than the treatment given to domestic investors in comparable circumstances. The main purpose of this principle is to prevent discrimination based on citizenship so that all business actors get the same opportunity in carrying out investment activities. The principle </w:t>
      </w:r>
      <w:r w:rsidRPr="00442C0A">
        <w:rPr>
          <w:rFonts w:ascii="Times New Roman" w:hAnsi="Times New Roman" w:cs="Times New Roman"/>
          <w:i/>
          <w:iCs/>
        </w:rPr>
        <w:t>of National Treatment</w:t>
      </w:r>
      <w:r w:rsidRPr="00442C0A">
        <w:rPr>
          <w:rFonts w:ascii="Times New Roman" w:hAnsi="Times New Roman" w:cs="Times New Roman"/>
        </w:rPr>
        <w:t xml:space="preserve"> also plays a role in creating a healthy business competition climate and increasing investor confidence in the legal system of the country receiving the investment. However, in some circumstances states may still be allowed to treat differently on legitimate grounds under international law, such as to protect national security or certain strategic sectors.</w:t>
      </w:r>
      <w:r w:rsidR="00E70890">
        <w:rPr>
          <w:rStyle w:val="FootnoteReference"/>
          <w:rFonts w:ascii="Times New Roman" w:hAnsi="Times New Roman" w:cs="Times New Roman"/>
        </w:rPr>
        <w:footnoteReference w:id="20"/>
      </w:r>
      <w:r w:rsidR="005742A4">
        <w:rPr>
          <w:rFonts w:ascii="Times New Roman" w:hAnsi="Times New Roman" w:cs="Times New Roman"/>
        </w:rPr>
        <w:t xml:space="preserve"> </w:t>
      </w:r>
      <w:r w:rsidR="00495F16" w:rsidRPr="00495F16">
        <w:rPr>
          <w:rFonts w:ascii="Times New Roman" w:hAnsi="Times New Roman" w:cs="Times New Roman"/>
          <w:i/>
          <w:iCs/>
        </w:rPr>
        <w:t>A frequently cited example is Occidental Exploration and Production Company v. Republic of Ecuador (LCIA Case No. UN3467, Final Award, 1 July 2004), in which the tribunal found that a difference in tax treatment between the claimant and comparable domestic exporters amounted to a breach of the National Treatment standard.</w:t>
      </w:r>
    </w:p>
    <w:p w14:paraId="37DF6E24" w14:textId="50EA1A9A" w:rsidR="00FD0A3C" w:rsidRPr="00442C0A" w:rsidRDefault="00FD0A3C" w:rsidP="005A60A4">
      <w:pPr>
        <w:spacing w:before="240"/>
        <w:ind w:firstLine="720"/>
        <w:jc w:val="both"/>
        <w:rPr>
          <w:rFonts w:ascii="Times New Roman" w:hAnsi="Times New Roman" w:cs="Times New Roman"/>
        </w:rPr>
      </w:pPr>
      <w:r w:rsidRPr="00442C0A">
        <w:rPr>
          <w:rFonts w:ascii="Times New Roman" w:hAnsi="Times New Roman" w:cs="Times New Roman"/>
        </w:rPr>
        <w:t xml:space="preserve">In addition, there is the </w:t>
      </w:r>
      <w:proofErr w:type="gramStart"/>
      <w:r w:rsidRPr="00442C0A">
        <w:rPr>
          <w:rFonts w:ascii="Times New Roman" w:hAnsi="Times New Roman" w:cs="Times New Roman"/>
        </w:rPr>
        <w:t xml:space="preserve">principle </w:t>
      </w:r>
      <w:r w:rsidRPr="00442C0A">
        <w:rPr>
          <w:rFonts w:ascii="Times New Roman" w:hAnsi="Times New Roman" w:cs="Times New Roman"/>
          <w:b/>
          <w:bCs/>
        </w:rPr>
        <w:t xml:space="preserve"> of</w:t>
      </w:r>
      <w:proofErr w:type="gramEnd"/>
      <w:r w:rsidRPr="00442C0A">
        <w:rPr>
          <w:rFonts w:ascii="Times New Roman" w:hAnsi="Times New Roman" w:cs="Times New Roman"/>
          <w:b/>
          <w:bCs/>
        </w:rPr>
        <w:t xml:space="preserve"> Most Favoured Nation</w:t>
      </w:r>
      <w:r w:rsidRPr="00442C0A">
        <w:rPr>
          <w:rFonts w:ascii="Times New Roman" w:hAnsi="Times New Roman" w:cs="Times New Roman"/>
        </w:rPr>
        <w:t xml:space="preserve"> (MFN) which requires the state to provide treatment to investors from one country that is no less </w:t>
      </w:r>
      <w:proofErr w:type="spellStart"/>
      <w:r w:rsidRPr="00442C0A">
        <w:rPr>
          <w:rFonts w:ascii="Times New Roman" w:hAnsi="Times New Roman" w:cs="Times New Roman"/>
        </w:rPr>
        <w:t>favorable</w:t>
      </w:r>
      <w:proofErr w:type="spellEnd"/>
      <w:r w:rsidRPr="00442C0A">
        <w:rPr>
          <w:rFonts w:ascii="Times New Roman" w:hAnsi="Times New Roman" w:cs="Times New Roman"/>
        </w:rPr>
        <w:t xml:space="preserve"> than the treatment given to investors from other countries. This principle aims to create equality of treatment among all foreign investors and prevent preferential treatment that is only given to certain countries. In investment arbitration practice, MFN clauses are often leveraged by investors to benefit from more </w:t>
      </w:r>
      <w:proofErr w:type="spellStart"/>
      <w:r w:rsidRPr="00442C0A">
        <w:rPr>
          <w:rFonts w:ascii="Times New Roman" w:hAnsi="Times New Roman" w:cs="Times New Roman"/>
        </w:rPr>
        <w:t>favorable</w:t>
      </w:r>
      <w:proofErr w:type="spellEnd"/>
      <w:r w:rsidRPr="00442C0A">
        <w:rPr>
          <w:rFonts w:ascii="Times New Roman" w:hAnsi="Times New Roman" w:cs="Times New Roman"/>
        </w:rPr>
        <w:t xml:space="preserve"> provisions in other investment agreements that the recipient country of the investment owns. Therefore, the application of the MFN clause is often the object of debate because it can expand the rights of investors beyond the provisions contained in the investment agreement that is the basis of the lawsuit.</w:t>
      </w:r>
      <w:r w:rsidR="00E70890">
        <w:rPr>
          <w:rStyle w:val="FootnoteReference"/>
          <w:rFonts w:ascii="Times New Roman" w:hAnsi="Times New Roman" w:cs="Times New Roman"/>
        </w:rPr>
        <w:footnoteReference w:id="21"/>
      </w:r>
      <w:r w:rsidR="001554F4">
        <w:rPr>
          <w:rFonts w:ascii="Times New Roman" w:hAnsi="Times New Roman" w:cs="Times New Roman"/>
        </w:rPr>
        <w:t xml:space="preserve"> </w:t>
      </w:r>
      <w:r w:rsidR="002B14D1" w:rsidRPr="002B14D1">
        <w:rPr>
          <w:rFonts w:ascii="Times New Roman" w:hAnsi="Times New Roman" w:cs="Times New Roman"/>
        </w:rPr>
        <w:t xml:space="preserve">A frequently cited example is </w:t>
      </w:r>
      <w:r w:rsidR="002B14D1" w:rsidRPr="002B14D1">
        <w:rPr>
          <w:rFonts w:ascii="Times New Roman" w:hAnsi="Times New Roman" w:cs="Times New Roman"/>
          <w:i/>
          <w:iCs/>
        </w:rPr>
        <w:t>Occidental Exploration and Production Company v. Republic of Ecuador</w:t>
      </w:r>
      <w:r w:rsidR="002B14D1" w:rsidRPr="002B14D1">
        <w:rPr>
          <w:rFonts w:ascii="Times New Roman" w:hAnsi="Times New Roman" w:cs="Times New Roman"/>
        </w:rPr>
        <w:t xml:space="preserve"> (LCIA Case No. UN3467, Final Award, 1 July 2004), in which the tribunal found that a difference in tax treatment between the claimant and comparable domestic exporters amounted to a breach of the National Treatment standard.</w:t>
      </w:r>
    </w:p>
    <w:p w14:paraId="11911D78" w14:textId="68F95800" w:rsidR="00FD0A3C" w:rsidRPr="00442C0A" w:rsidRDefault="001554F4" w:rsidP="005A60A4">
      <w:pPr>
        <w:spacing w:before="240"/>
        <w:ind w:firstLine="720"/>
        <w:jc w:val="both"/>
        <w:rPr>
          <w:rFonts w:ascii="Times New Roman" w:hAnsi="Times New Roman" w:cs="Times New Roman"/>
        </w:rPr>
      </w:pPr>
      <w:r w:rsidRPr="001554F4">
        <w:rPr>
          <w:rFonts w:ascii="Times New Roman" w:hAnsi="Times New Roman" w:cs="Times New Roman"/>
        </w:rPr>
        <w:t xml:space="preserve">Another important principle is </w:t>
      </w:r>
      <w:r w:rsidRPr="001554F4">
        <w:rPr>
          <w:rFonts w:ascii="Times New Roman" w:hAnsi="Times New Roman" w:cs="Times New Roman"/>
          <w:b/>
          <w:bCs/>
        </w:rPr>
        <w:t>Compensation for Expropriation</w:t>
      </w:r>
      <w:r w:rsidRPr="001554F4">
        <w:rPr>
          <w:rFonts w:ascii="Times New Roman" w:hAnsi="Times New Roman" w:cs="Times New Roman"/>
        </w:rPr>
        <w:t xml:space="preserve">. In international law, the state has the right to </w:t>
      </w:r>
      <w:r w:rsidRPr="001554F4">
        <w:rPr>
          <w:rFonts w:ascii="Times New Roman" w:hAnsi="Times New Roman" w:cs="Times New Roman"/>
          <w:i/>
          <w:iCs/>
        </w:rPr>
        <w:t>expropriate</w:t>
      </w:r>
      <w:r w:rsidRPr="001554F4">
        <w:rPr>
          <w:rFonts w:ascii="Times New Roman" w:hAnsi="Times New Roman" w:cs="Times New Roman"/>
        </w:rPr>
        <w:t xml:space="preserve"> foreign investment if it is done in the public interest. However, such actions can only be justified if they meet several conditions, namely carried out in accordance with the law, in the public interest, not discriminatory, and accompanied by the provision of adequate, </w:t>
      </w:r>
      <w:r w:rsidRPr="001554F4">
        <w:rPr>
          <w:rFonts w:ascii="Times New Roman" w:hAnsi="Times New Roman" w:cs="Times New Roman"/>
          <w:i/>
          <w:iCs/>
        </w:rPr>
        <w:t>adequate, and effective compensation</w:t>
      </w:r>
      <w:r w:rsidRPr="001554F4">
        <w:rPr>
          <w:rFonts w:ascii="Times New Roman" w:hAnsi="Times New Roman" w:cs="Times New Roman"/>
        </w:rPr>
        <w:t>. If these conditions are not met, the investor has the right to file a lawsuit through the international arbitration mechanism to obtain compensation</w:t>
      </w:r>
      <w:r w:rsidR="00FD0A3C" w:rsidRPr="00442C0A">
        <w:rPr>
          <w:rFonts w:ascii="Times New Roman" w:hAnsi="Times New Roman" w:cs="Times New Roman"/>
        </w:rPr>
        <w:t>.</w:t>
      </w:r>
      <w:r w:rsidR="00E70890">
        <w:rPr>
          <w:rStyle w:val="FootnoteReference"/>
          <w:rFonts w:ascii="Times New Roman" w:hAnsi="Times New Roman" w:cs="Times New Roman"/>
        </w:rPr>
        <w:footnoteReference w:id="22"/>
      </w:r>
      <w:r w:rsidR="002B14D1">
        <w:rPr>
          <w:rFonts w:ascii="Times New Roman" w:hAnsi="Times New Roman" w:cs="Times New Roman"/>
        </w:rPr>
        <w:t xml:space="preserve"> </w:t>
      </w:r>
      <w:r w:rsidR="002B14D1" w:rsidRPr="002B14D1">
        <w:rPr>
          <w:rFonts w:ascii="Times New Roman" w:hAnsi="Times New Roman" w:cs="Times New Roman"/>
        </w:rPr>
        <w:t xml:space="preserve">The leading illustration of this debate is </w:t>
      </w:r>
      <w:r w:rsidR="002B14D1" w:rsidRPr="002B14D1">
        <w:rPr>
          <w:rFonts w:ascii="Times New Roman" w:hAnsi="Times New Roman" w:cs="Times New Roman"/>
          <w:i/>
          <w:iCs/>
        </w:rPr>
        <w:t xml:space="preserve">Emilio Agustín </w:t>
      </w:r>
      <w:proofErr w:type="spellStart"/>
      <w:r w:rsidR="002B14D1" w:rsidRPr="002B14D1">
        <w:rPr>
          <w:rFonts w:ascii="Times New Roman" w:hAnsi="Times New Roman" w:cs="Times New Roman"/>
          <w:i/>
          <w:iCs/>
        </w:rPr>
        <w:t>Maffezini</w:t>
      </w:r>
      <w:proofErr w:type="spellEnd"/>
      <w:r w:rsidR="002B14D1" w:rsidRPr="002B14D1">
        <w:rPr>
          <w:rFonts w:ascii="Times New Roman" w:hAnsi="Times New Roman" w:cs="Times New Roman"/>
          <w:i/>
          <w:iCs/>
        </w:rPr>
        <w:t xml:space="preserve"> v. Kingdom of Spain</w:t>
      </w:r>
      <w:r w:rsidR="002B14D1" w:rsidRPr="002B14D1">
        <w:rPr>
          <w:rFonts w:ascii="Times New Roman" w:hAnsi="Times New Roman" w:cs="Times New Roman"/>
        </w:rPr>
        <w:t xml:space="preserve"> (ICSID Case No. ARB/97/7, Decision on Objections to Jurisdiction, 25 January 2000), in which the tribunal allowed the claimant to rely on the MFN clause to import a more favourable dispute-resolution provision from a different treaty, a holding that has since divided subsequent tribunals.</w:t>
      </w:r>
    </w:p>
    <w:p w14:paraId="07243587" w14:textId="4796B2F0" w:rsidR="00FD0A3C" w:rsidRPr="00442C0A" w:rsidRDefault="00FD0A3C" w:rsidP="005A60A4">
      <w:pPr>
        <w:spacing w:before="240"/>
        <w:ind w:firstLine="720"/>
        <w:jc w:val="both"/>
        <w:rPr>
          <w:rFonts w:ascii="Times New Roman" w:hAnsi="Times New Roman" w:cs="Times New Roman"/>
        </w:rPr>
      </w:pPr>
      <w:r w:rsidRPr="00442C0A">
        <w:rPr>
          <w:rFonts w:ascii="Times New Roman" w:hAnsi="Times New Roman" w:cs="Times New Roman"/>
        </w:rPr>
        <w:t xml:space="preserve">In its development, the arbitration tribunal also knows the </w:t>
      </w:r>
      <w:proofErr w:type="gramStart"/>
      <w:r w:rsidRPr="00442C0A">
        <w:rPr>
          <w:rFonts w:ascii="Times New Roman" w:hAnsi="Times New Roman" w:cs="Times New Roman"/>
        </w:rPr>
        <w:t xml:space="preserve">concepts </w:t>
      </w:r>
      <w:r w:rsidRPr="00442C0A">
        <w:rPr>
          <w:rFonts w:ascii="Times New Roman" w:hAnsi="Times New Roman" w:cs="Times New Roman"/>
          <w:b/>
          <w:bCs/>
        </w:rPr>
        <w:t xml:space="preserve"> of</w:t>
      </w:r>
      <w:proofErr w:type="gramEnd"/>
      <w:r w:rsidRPr="00442C0A">
        <w:rPr>
          <w:rFonts w:ascii="Times New Roman" w:hAnsi="Times New Roman" w:cs="Times New Roman"/>
          <w:b/>
          <w:bCs/>
        </w:rPr>
        <w:t xml:space="preserve"> direct expropriation</w:t>
      </w:r>
      <w:r w:rsidRPr="00442C0A">
        <w:rPr>
          <w:rFonts w:ascii="Times New Roman" w:hAnsi="Times New Roman" w:cs="Times New Roman"/>
        </w:rPr>
        <w:t xml:space="preserve"> and </w:t>
      </w:r>
      <w:r w:rsidRPr="00442C0A">
        <w:rPr>
          <w:rFonts w:ascii="Times New Roman" w:hAnsi="Times New Roman" w:cs="Times New Roman"/>
          <w:b/>
          <w:bCs/>
        </w:rPr>
        <w:t>indirect expropriation</w:t>
      </w:r>
      <w:r w:rsidRPr="00442C0A">
        <w:rPr>
          <w:rFonts w:ascii="Times New Roman" w:hAnsi="Times New Roman" w:cs="Times New Roman"/>
        </w:rPr>
        <w:t xml:space="preserve">. </w:t>
      </w:r>
      <w:r w:rsidRPr="00442C0A">
        <w:rPr>
          <w:rFonts w:ascii="Times New Roman" w:hAnsi="Times New Roman" w:cs="Times New Roman"/>
          <w:i/>
          <w:iCs/>
        </w:rPr>
        <w:t xml:space="preserve">Direct expropriation </w:t>
      </w:r>
      <w:r w:rsidRPr="00442C0A">
        <w:rPr>
          <w:rFonts w:ascii="Times New Roman" w:hAnsi="Times New Roman" w:cs="Times New Roman"/>
        </w:rPr>
        <w:t xml:space="preserve">occurs when the state directly takes over the ownership or assets of an investor through nationalization or confiscation. In contrast, </w:t>
      </w:r>
      <w:r w:rsidRPr="00442C0A">
        <w:rPr>
          <w:rFonts w:ascii="Times New Roman" w:hAnsi="Times New Roman" w:cs="Times New Roman"/>
          <w:i/>
          <w:iCs/>
        </w:rPr>
        <w:t xml:space="preserve">indirect expropriation </w:t>
      </w:r>
      <w:r w:rsidRPr="00442C0A">
        <w:rPr>
          <w:rFonts w:ascii="Times New Roman" w:hAnsi="Times New Roman" w:cs="Times New Roman"/>
        </w:rPr>
        <w:t>occurs when government policies do not take ownership directly, but result in a significant loss of economic value or investment benefits. The concept of indirect expropriation is often debated because its limits depend heavily on the arbitral tribunal's assessment of the impact of government policies on foreign investment.</w:t>
      </w:r>
      <w:r w:rsidR="00E70890">
        <w:rPr>
          <w:rStyle w:val="FootnoteReference"/>
          <w:rFonts w:ascii="Times New Roman" w:hAnsi="Times New Roman" w:cs="Times New Roman"/>
        </w:rPr>
        <w:footnoteReference w:id="23"/>
      </w:r>
      <w:r w:rsidR="001554F4">
        <w:rPr>
          <w:rFonts w:ascii="Times New Roman" w:hAnsi="Times New Roman" w:cs="Times New Roman"/>
        </w:rPr>
        <w:t xml:space="preserve"> </w:t>
      </w:r>
      <w:proofErr w:type="spellStart"/>
      <w:r w:rsidR="001554F4" w:rsidRPr="001554F4">
        <w:rPr>
          <w:rFonts w:ascii="Times New Roman" w:hAnsi="Times New Roman" w:cs="Times New Roman"/>
          <w:i/>
          <w:iCs/>
        </w:rPr>
        <w:t>Metalclad</w:t>
      </w:r>
      <w:proofErr w:type="spellEnd"/>
      <w:r w:rsidR="001554F4" w:rsidRPr="001554F4">
        <w:rPr>
          <w:rFonts w:ascii="Times New Roman" w:hAnsi="Times New Roman" w:cs="Times New Roman"/>
          <w:i/>
          <w:iCs/>
        </w:rPr>
        <w:t xml:space="preserve"> Corporation v. United Mexican States</w:t>
      </w:r>
      <w:r w:rsidR="001554F4" w:rsidRPr="001554F4">
        <w:rPr>
          <w:rFonts w:ascii="Times New Roman" w:hAnsi="Times New Roman" w:cs="Times New Roman"/>
        </w:rPr>
        <w:t xml:space="preserve">, discussed above, and </w:t>
      </w:r>
      <w:proofErr w:type="spellStart"/>
      <w:r w:rsidR="001554F4" w:rsidRPr="001554F4">
        <w:rPr>
          <w:rFonts w:ascii="Times New Roman" w:hAnsi="Times New Roman" w:cs="Times New Roman"/>
          <w:i/>
          <w:iCs/>
        </w:rPr>
        <w:t>Compañía</w:t>
      </w:r>
      <w:proofErr w:type="spellEnd"/>
      <w:r w:rsidR="001554F4" w:rsidRPr="001554F4">
        <w:rPr>
          <w:rFonts w:ascii="Times New Roman" w:hAnsi="Times New Roman" w:cs="Times New Roman"/>
          <w:i/>
          <w:iCs/>
        </w:rPr>
        <w:t xml:space="preserve"> del Desarrollo de Santa Elena, S.A. v. Republic of Costa Rica</w:t>
      </w:r>
      <w:r w:rsidR="001554F4" w:rsidRPr="001554F4">
        <w:rPr>
          <w:rFonts w:ascii="Times New Roman" w:hAnsi="Times New Roman" w:cs="Times New Roman"/>
        </w:rPr>
        <w:t xml:space="preserve"> (ICSID Case No. ARB/96/1) are commonly cited as leading examples of tribunals finding indirect expropriation despite the absence of a formal, direct taking of title.</w:t>
      </w:r>
    </w:p>
    <w:p w14:paraId="1326209C" w14:textId="4F3F5F57" w:rsidR="00FD0A3C" w:rsidRPr="00442C0A" w:rsidRDefault="001554F4" w:rsidP="005A60A4">
      <w:pPr>
        <w:spacing w:before="240"/>
        <w:ind w:firstLine="720"/>
        <w:jc w:val="both"/>
        <w:rPr>
          <w:rFonts w:ascii="Times New Roman" w:hAnsi="Times New Roman" w:cs="Times New Roman"/>
        </w:rPr>
      </w:pPr>
      <w:r w:rsidRPr="001554F4">
        <w:rPr>
          <w:rFonts w:ascii="Times New Roman" w:hAnsi="Times New Roman" w:cs="Times New Roman"/>
        </w:rPr>
        <w:t xml:space="preserve">On the other hand, the development of international investment law also increasingly recognizes the existence of the </w:t>
      </w:r>
      <w:r w:rsidRPr="001554F4">
        <w:rPr>
          <w:rFonts w:ascii="Times New Roman" w:hAnsi="Times New Roman" w:cs="Times New Roman"/>
          <w:b/>
          <w:bCs/>
        </w:rPr>
        <w:t>principle of Right to Regulate</w:t>
      </w:r>
      <w:r w:rsidRPr="001554F4">
        <w:rPr>
          <w:rFonts w:ascii="Times New Roman" w:hAnsi="Times New Roman" w:cs="Times New Roman"/>
        </w:rPr>
        <w:t xml:space="preserve">, namely the right of the state to establish public policies to protect the interests of society, the environment, health, national security, human rights, and sustainable development. The recognition of this principle is a response to increasing criticism of the </w:t>
      </w:r>
      <w:r w:rsidRPr="001554F4">
        <w:rPr>
          <w:rFonts w:ascii="Times New Roman" w:hAnsi="Times New Roman" w:cs="Times New Roman"/>
          <w:i/>
          <w:iCs/>
        </w:rPr>
        <w:t>Investor-State Dispute Settlement</w:t>
      </w:r>
      <w:r w:rsidRPr="001554F4">
        <w:rPr>
          <w:rFonts w:ascii="Times New Roman" w:hAnsi="Times New Roman" w:cs="Times New Roman"/>
        </w:rPr>
        <w:t xml:space="preserve"> (ISDS) mechanism which is considered to be too much of a priority for investors. Nowadays, many modern investment agreements expressly include provisions that recognize the right of the state to regulate as long as the policy is carried out proportionately, non-</w:t>
      </w:r>
      <w:proofErr w:type="spellStart"/>
      <w:r w:rsidRPr="001554F4">
        <w:rPr>
          <w:rFonts w:ascii="Times New Roman" w:hAnsi="Times New Roman" w:cs="Times New Roman"/>
        </w:rPr>
        <w:t>discriminatoryly</w:t>
      </w:r>
      <w:proofErr w:type="spellEnd"/>
      <w:r w:rsidRPr="001554F4">
        <w:rPr>
          <w:rFonts w:ascii="Times New Roman" w:hAnsi="Times New Roman" w:cs="Times New Roman"/>
        </w:rPr>
        <w:t>, and in accordance with agreed international obligations</w:t>
      </w:r>
      <w:r w:rsidR="00FD0A3C" w:rsidRPr="00442C0A">
        <w:rPr>
          <w:rFonts w:ascii="Times New Roman" w:hAnsi="Times New Roman" w:cs="Times New Roman"/>
        </w:rPr>
        <w:t>.</w:t>
      </w:r>
      <w:r w:rsidR="00005859">
        <w:rPr>
          <w:rStyle w:val="FootnoteReference"/>
          <w:rFonts w:ascii="Times New Roman" w:hAnsi="Times New Roman" w:cs="Times New Roman"/>
        </w:rPr>
        <w:footnoteReference w:id="24"/>
      </w:r>
      <w:r>
        <w:rPr>
          <w:rFonts w:ascii="Times New Roman" w:hAnsi="Times New Roman" w:cs="Times New Roman"/>
        </w:rPr>
        <w:t xml:space="preserve"> </w:t>
      </w:r>
      <w:proofErr w:type="spellStart"/>
      <w:r w:rsidR="002B14D1" w:rsidRPr="002B14D1">
        <w:rPr>
          <w:rFonts w:ascii="Times New Roman" w:hAnsi="Times New Roman" w:cs="Times New Roman"/>
          <w:i/>
          <w:iCs/>
        </w:rPr>
        <w:t>Metalclad</w:t>
      </w:r>
      <w:proofErr w:type="spellEnd"/>
      <w:r w:rsidR="002B14D1" w:rsidRPr="002B14D1">
        <w:rPr>
          <w:rFonts w:ascii="Times New Roman" w:hAnsi="Times New Roman" w:cs="Times New Roman"/>
          <w:i/>
          <w:iCs/>
        </w:rPr>
        <w:t xml:space="preserve"> Corporation v. United Mexican States</w:t>
      </w:r>
      <w:r w:rsidR="002B14D1" w:rsidRPr="002B14D1">
        <w:rPr>
          <w:rFonts w:ascii="Times New Roman" w:hAnsi="Times New Roman" w:cs="Times New Roman"/>
        </w:rPr>
        <w:t xml:space="preserve">, discussed above, and </w:t>
      </w:r>
      <w:proofErr w:type="spellStart"/>
      <w:r w:rsidR="002B14D1" w:rsidRPr="002B14D1">
        <w:rPr>
          <w:rFonts w:ascii="Times New Roman" w:hAnsi="Times New Roman" w:cs="Times New Roman"/>
          <w:i/>
          <w:iCs/>
        </w:rPr>
        <w:t>Compañía</w:t>
      </w:r>
      <w:proofErr w:type="spellEnd"/>
      <w:r w:rsidR="002B14D1" w:rsidRPr="002B14D1">
        <w:rPr>
          <w:rFonts w:ascii="Times New Roman" w:hAnsi="Times New Roman" w:cs="Times New Roman"/>
          <w:i/>
          <w:iCs/>
        </w:rPr>
        <w:t xml:space="preserve"> del Desarrollo de Santa Elena, S.A. v. Republic of Costa Rica</w:t>
      </w:r>
      <w:r w:rsidR="002B14D1" w:rsidRPr="002B14D1">
        <w:rPr>
          <w:rFonts w:ascii="Times New Roman" w:hAnsi="Times New Roman" w:cs="Times New Roman"/>
        </w:rPr>
        <w:t xml:space="preserve"> (ICSID Case No. ARB/96/1, Final Award, 17 February 2000, (2000) 39 ILM 1317) are commonly cited as leading examples of tribunals finding indirect expropriation, the latter in the context of a state's environmental conservation measures, despite the absence of a formal, direct taking of title</w:t>
      </w:r>
      <w:r w:rsidRPr="001554F4">
        <w:rPr>
          <w:rFonts w:ascii="Times New Roman" w:hAnsi="Times New Roman" w:cs="Times New Roman"/>
        </w:rPr>
        <w:t>.</w:t>
      </w:r>
    </w:p>
    <w:p w14:paraId="1032E5C1" w14:textId="12AE341A" w:rsidR="00FD0A3C" w:rsidRDefault="001554F4" w:rsidP="005A60A4">
      <w:pPr>
        <w:spacing w:before="240"/>
        <w:ind w:firstLine="720"/>
        <w:jc w:val="both"/>
        <w:rPr>
          <w:rFonts w:ascii="Times New Roman" w:hAnsi="Times New Roman" w:cs="Times New Roman"/>
        </w:rPr>
      </w:pPr>
      <w:r w:rsidRPr="001554F4">
        <w:rPr>
          <w:rFonts w:ascii="Times New Roman" w:hAnsi="Times New Roman" w:cs="Times New Roman"/>
        </w:rPr>
        <w:t>Thus, the principles of international investment arbitration show that protection against foreign investors is not absolute. The state still has the right to carry out government functions and make public policies in the interest of the people, as long as the policy does not conflict with the provisions of international law. Therefore, the biggest challenge in the development of international investment arbitration today is to create a balance between the protection of investor rights with respect for the sovereignty of the state. This balance is the main foundation in realizing an investment dispute resolution system that is fair, transparent, provides legal certainty, and is able to support sustainable economic development in the midst of the dynamics of global economic relations</w:t>
      </w:r>
      <w:r w:rsidR="00FD0A3C" w:rsidRPr="00442C0A">
        <w:rPr>
          <w:rFonts w:ascii="Times New Roman" w:hAnsi="Times New Roman" w:cs="Times New Roman"/>
        </w:rPr>
        <w:t>.</w:t>
      </w:r>
      <w:r w:rsidR="00005859">
        <w:rPr>
          <w:rStyle w:val="FootnoteReference"/>
          <w:rFonts w:ascii="Times New Roman" w:hAnsi="Times New Roman" w:cs="Times New Roman"/>
        </w:rPr>
        <w:footnoteReference w:id="25"/>
      </w:r>
      <w:r w:rsidR="002B14D1">
        <w:rPr>
          <w:rFonts w:ascii="Times New Roman" w:hAnsi="Times New Roman" w:cs="Times New Roman"/>
        </w:rPr>
        <w:t xml:space="preserve"> </w:t>
      </w:r>
      <w:r w:rsidR="002B14D1" w:rsidRPr="002B14D1">
        <w:rPr>
          <w:rFonts w:ascii="Times New Roman" w:hAnsi="Times New Roman" w:cs="Times New Roman"/>
        </w:rPr>
        <w:t xml:space="preserve">This trend is reflected in </w:t>
      </w:r>
      <w:r w:rsidR="002B14D1" w:rsidRPr="002B14D1">
        <w:rPr>
          <w:rFonts w:ascii="Times New Roman" w:hAnsi="Times New Roman" w:cs="Times New Roman"/>
          <w:i/>
          <w:iCs/>
        </w:rPr>
        <w:t>Philip Morris Brands Sàrl, Philip Morris Products S.A. and Abal Hermanos S.A. v. Oriental Republic of Uruguay</w:t>
      </w:r>
      <w:r w:rsidR="002B14D1" w:rsidRPr="002B14D1">
        <w:rPr>
          <w:rFonts w:ascii="Times New Roman" w:hAnsi="Times New Roman" w:cs="Times New Roman"/>
        </w:rPr>
        <w:t xml:space="preserve"> (ICSID Case No. ARB/10/7, Award, 8 July 2016), in which the tribunal dismissed the investor's claims and upheld Uruguay's tobacco-control measures as a legitimate, good-faith exercise of the state's right to regulate in the interest of public health.</w:t>
      </w:r>
    </w:p>
    <w:p w14:paraId="50FC026C" w14:textId="64434AA2" w:rsidR="002B14D1" w:rsidRPr="008216B8" w:rsidRDefault="002B14D1" w:rsidP="005A60A4">
      <w:pPr>
        <w:spacing w:before="240"/>
        <w:ind w:firstLine="720"/>
        <w:jc w:val="both"/>
        <w:rPr>
          <w:rFonts w:ascii="Times New Roman" w:hAnsi="Times New Roman" w:cs="Times New Roman"/>
        </w:rPr>
      </w:pPr>
      <w:r w:rsidRPr="002B14D1">
        <w:rPr>
          <w:rFonts w:ascii="Times New Roman" w:hAnsi="Times New Roman" w:cs="Times New Roman"/>
        </w:rPr>
        <w:t>Thus, the principles of international investment arbitration show that protection against foreign investors is not absolute. The state still has the right to carry out government functions and make public policies in the interest of the people, as long as the policy does not conflict with the provisions of international law. Therefore, the biggest challenge in the development of international investment arbitration today is to create a balance between the protection of investor rights with respect for the sovereignty of the state. This balance is the main foundation in realizing an investment dispute resolution system that is fair, transparent, provides legal certainty, and is able to support sustainable economic development in the midst of the dynamics of global economic relations</w:t>
      </w:r>
      <w:r w:rsidRPr="00442C0A">
        <w:rPr>
          <w:rFonts w:ascii="Times New Roman" w:hAnsi="Times New Roman" w:cs="Times New Roman"/>
        </w:rPr>
        <w:t>.</w:t>
      </w:r>
      <w:r>
        <w:rPr>
          <w:rStyle w:val="FootnoteReference"/>
          <w:rFonts w:ascii="Times New Roman" w:hAnsi="Times New Roman" w:cs="Times New Roman"/>
        </w:rPr>
        <w:footnoteReference w:id="26"/>
      </w:r>
    </w:p>
    <w:p w14:paraId="5745D93A" w14:textId="77777777" w:rsidR="00BE2169" w:rsidRDefault="00BE2169" w:rsidP="005A60A4">
      <w:pPr>
        <w:spacing w:after="0" w:line="240" w:lineRule="auto"/>
        <w:jc w:val="both"/>
        <w:rPr>
          <w:rFonts w:ascii="Times New Roman" w:hAnsi="Times New Roman" w:cs="Times New Roman"/>
          <w:b/>
          <w:i/>
        </w:rPr>
      </w:pPr>
    </w:p>
    <w:p w14:paraId="4C2A7E62" w14:textId="713B30A5" w:rsidR="00C52803" w:rsidRPr="00C52803" w:rsidRDefault="0009793C" w:rsidP="005A60A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w:t>
      </w:r>
    </w:p>
    <w:p w14:paraId="7357C991" w14:textId="499E7794" w:rsidR="002E68C0" w:rsidRPr="002E68C0" w:rsidRDefault="00C52803" w:rsidP="005A60A4">
      <w:pPr>
        <w:jc w:val="both"/>
        <w:rPr>
          <w:rFonts w:ascii="Times New Roman" w:eastAsia="Times New Roman" w:hAnsi="Times New Roman" w:cs="Times New Roman"/>
        </w:rPr>
      </w:pPr>
      <w:r>
        <w:rPr>
          <w:rFonts w:ascii="Times New Roman" w:eastAsia="Times New Roman" w:hAnsi="Times New Roman" w:cs="Times New Roman"/>
        </w:rPr>
        <w:tab/>
      </w:r>
      <w:r w:rsidR="002E68C0" w:rsidRPr="002E68C0">
        <w:rPr>
          <w:rFonts w:ascii="Times New Roman" w:eastAsia="Times New Roman" w:hAnsi="Times New Roman" w:cs="Times New Roman"/>
        </w:rPr>
        <w:t>Based on the results of the research, it can be concluded that international investment arbitration is a dispute resolution mechanism that has an important role in providing legal protection to foreign investors. This protection is realized through various international legal instruments, such as the Convention on the Settlement of Investment Disputes between States and Nationals of Other States (ICSID Convention) 1965, the Convention on the Recognition and Enforcement of Foreign Arbitral Awards (New York Convention) 1958, the UNCITRAL Arbitration Rules, and various Bilateral Investment Treaties (BITs). In practice, investor protection is carried out through the application of international investment law principles, including Fair and Equitable Treatment (FET), Full Protection and Security (FPS), National Treatment, Most Favoured Nation (MFN), and compensation for expropriation actions. The existence of these principles aims to create legal certainty, increase investor confidence, and encourage the growth of foreign investment as one of the supporting factors for a country's economic development.</w:t>
      </w:r>
    </w:p>
    <w:p w14:paraId="1A921E34" w14:textId="5F5E4B86" w:rsidR="00BE2169" w:rsidRDefault="002E68C0" w:rsidP="005A60A4">
      <w:pPr>
        <w:ind w:firstLine="720"/>
        <w:jc w:val="both"/>
        <w:rPr>
          <w:rFonts w:ascii="Times New Roman" w:hAnsi="Times New Roman" w:cs="Times New Roman"/>
        </w:rPr>
      </w:pPr>
      <w:r w:rsidRPr="002E68C0">
        <w:rPr>
          <w:rFonts w:ascii="Times New Roman" w:eastAsia="Times New Roman" w:hAnsi="Times New Roman" w:cs="Times New Roman"/>
        </w:rPr>
        <w:t>On the other hand, the international investment arbitration mechanism also poses challenges to the implementation of state sovereignty. The right of the state to set public policy (the right to regulate) is often confronted with international obligations in providing protection to investors. This condition raises various legal problems in the form of vague norms regarding the limits of the application of investor protection standards, conflict of norms between investment protection and the principle of state sovereignty, and the vacuum of norms regarding the balance between investor interests and public interests. Therefore, it is necessary to develop a more adaptive international investment law through the reform of the international investment arbitration mechanism in order to be able to create a balance between investor protection and the rights of the state in carrying out its government functions, so as to create a fair, effective investment dispute resolution system, and provide legal certainty for all parties.</w:t>
      </w:r>
    </w:p>
    <w:p w14:paraId="3F338CC5" w14:textId="729D6CE8" w:rsidR="00C52803" w:rsidRDefault="00C52803" w:rsidP="00BE2169">
      <w:pPr>
        <w:spacing w:after="0" w:line="240" w:lineRule="auto"/>
        <w:jc w:val="both"/>
        <w:rPr>
          <w:rFonts w:ascii="Times New Roman" w:eastAsia="Times New Roman" w:hAnsi="Times New Roman" w:cs="Times New Roman"/>
          <w:b/>
          <w:sz w:val="24"/>
          <w:szCs w:val="24"/>
        </w:rPr>
      </w:pPr>
    </w:p>
    <w:p w14:paraId="37AC43B9" w14:textId="77777777" w:rsidR="00C52803" w:rsidRPr="00C52803" w:rsidRDefault="0009793C" w:rsidP="00C52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ACKNOWLEDGMENTS</w:t>
      </w:r>
    </w:p>
    <w:p w14:paraId="0791EE85" w14:textId="77777777" w:rsidR="002E68C0" w:rsidRPr="002E68C0" w:rsidRDefault="00C52803" w:rsidP="002E68C0">
      <w:pPr>
        <w:jc w:val="both"/>
        <w:rPr>
          <w:rFonts w:ascii="Times New Roman" w:eastAsia="Times New Roman" w:hAnsi="Times New Roman" w:cs="Times New Roman"/>
        </w:rPr>
      </w:pPr>
      <w:r>
        <w:rPr>
          <w:rFonts w:ascii="Times New Roman" w:eastAsia="Times New Roman" w:hAnsi="Times New Roman" w:cs="Times New Roman"/>
        </w:rPr>
        <w:tab/>
      </w:r>
      <w:r w:rsidR="002E68C0" w:rsidRPr="002E68C0">
        <w:rPr>
          <w:rFonts w:ascii="Times New Roman" w:eastAsia="Times New Roman" w:hAnsi="Times New Roman" w:cs="Times New Roman"/>
        </w:rPr>
        <w:t xml:space="preserve">Praise and gratitude to God Almighty for all His graces, gifts, and inclusion so that this scientific article can be completed properly. The author expressed his gratitude to the lecturers in the International Arbitration course for the guidance, direction, and knowledge that had been provided during the lecture process. The author also expressed his gratitude to the Faculty of Law, </w:t>
      </w:r>
      <w:proofErr w:type="spellStart"/>
      <w:r w:rsidR="002E68C0" w:rsidRPr="002E68C0">
        <w:rPr>
          <w:rFonts w:ascii="Times New Roman" w:eastAsia="Times New Roman" w:hAnsi="Times New Roman" w:cs="Times New Roman"/>
        </w:rPr>
        <w:t>Pertiba</w:t>
      </w:r>
      <w:proofErr w:type="spellEnd"/>
      <w:r w:rsidR="002E68C0" w:rsidRPr="002E68C0">
        <w:rPr>
          <w:rFonts w:ascii="Times New Roman" w:eastAsia="Times New Roman" w:hAnsi="Times New Roman" w:cs="Times New Roman"/>
        </w:rPr>
        <w:t xml:space="preserve"> University of </w:t>
      </w:r>
      <w:proofErr w:type="spellStart"/>
      <w:r w:rsidR="002E68C0" w:rsidRPr="002E68C0">
        <w:rPr>
          <w:rFonts w:ascii="Times New Roman" w:eastAsia="Times New Roman" w:hAnsi="Times New Roman" w:cs="Times New Roman"/>
        </w:rPr>
        <w:t>Pangkalpinang</w:t>
      </w:r>
      <w:proofErr w:type="spellEnd"/>
      <w:r w:rsidR="002E68C0" w:rsidRPr="002E68C0">
        <w:rPr>
          <w:rFonts w:ascii="Times New Roman" w:eastAsia="Times New Roman" w:hAnsi="Times New Roman" w:cs="Times New Roman"/>
        </w:rPr>
        <w:t xml:space="preserve"> for providing opportunities and facilities in supporting the preparation of this article.</w:t>
      </w:r>
    </w:p>
    <w:p w14:paraId="63968C8F" w14:textId="103B0124" w:rsidR="002E68C0" w:rsidRPr="00321336" w:rsidRDefault="002E68C0" w:rsidP="002E68C0">
      <w:pPr>
        <w:ind w:firstLine="720"/>
        <w:jc w:val="both"/>
        <w:rPr>
          <w:rFonts w:ascii="Times New Roman" w:hAnsi="Times New Roman" w:cs="Times New Roman"/>
        </w:rPr>
      </w:pPr>
      <w:r w:rsidRPr="002E68C0">
        <w:rPr>
          <w:rFonts w:ascii="Times New Roman" w:eastAsia="Times New Roman" w:hAnsi="Times New Roman" w:cs="Times New Roman"/>
        </w:rPr>
        <w:t>The author also expresses his gratitude to his family, friends, and all parties who have provided support, motivation, and assistance both directly and indirectly during the process of preparing this article. The author realizes that this article still has various limitations, so constructive criticism and suggestions are highly expected for the sake of improving research in the future.</w:t>
      </w:r>
    </w:p>
    <w:p w14:paraId="5A6D2418" w14:textId="77777777" w:rsidR="001745B6" w:rsidRDefault="001745B6" w:rsidP="001745B6">
      <w:pPr>
        <w:spacing w:after="0" w:line="240" w:lineRule="auto"/>
        <w:jc w:val="both"/>
        <w:rPr>
          <w:rFonts w:ascii="Times New Roman" w:eastAsia="Times New Roman" w:hAnsi="Times New Roman" w:cs="Times New Roman"/>
          <w:b/>
          <w:sz w:val="24"/>
          <w:szCs w:val="24"/>
        </w:rPr>
      </w:pPr>
    </w:p>
    <w:p w14:paraId="3FC7C866" w14:textId="3BEEFD03" w:rsidR="00BE2169" w:rsidRPr="002E68C0" w:rsidRDefault="0009793C" w:rsidP="001745B6">
      <w:pPr>
        <w:spacing w:after="0" w:line="240" w:lineRule="auto"/>
        <w:jc w:val="both"/>
      </w:pPr>
      <w:r>
        <w:rPr>
          <w:rFonts w:ascii="Times New Roman" w:eastAsia="Times New Roman" w:hAnsi="Times New Roman" w:cs="Times New Roman"/>
          <w:b/>
          <w:sz w:val="24"/>
          <w:szCs w:val="24"/>
        </w:rPr>
        <w:t>REFERENCES</w:t>
      </w:r>
    </w:p>
    <w:p w14:paraId="60A61012"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Andrew Newcombe dan </w:t>
      </w:r>
      <w:proofErr w:type="spellStart"/>
      <w:r w:rsidRPr="000645F4">
        <w:rPr>
          <w:rFonts w:ascii="Times New Roman" w:hAnsi="Times New Roman" w:cs="Times New Roman"/>
        </w:rPr>
        <w:t>Lluís</w:t>
      </w:r>
      <w:proofErr w:type="spellEnd"/>
      <w:r w:rsidRPr="000645F4">
        <w:rPr>
          <w:rFonts w:ascii="Times New Roman" w:hAnsi="Times New Roman" w:cs="Times New Roman"/>
        </w:rPr>
        <w:t xml:space="preserve"> Paradell, *Law and Practice of Investment Treaties: Standards of Treatment* (Alphen </w:t>
      </w:r>
      <w:proofErr w:type="spellStart"/>
      <w:r w:rsidRPr="000645F4">
        <w:rPr>
          <w:rFonts w:ascii="Times New Roman" w:hAnsi="Times New Roman" w:cs="Times New Roman"/>
        </w:rPr>
        <w:t>aan</w:t>
      </w:r>
      <w:proofErr w:type="spellEnd"/>
      <w:r w:rsidRPr="000645F4">
        <w:rPr>
          <w:rFonts w:ascii="Times New Roman" w:hAnsi="Times New Roman" w:cs="Times New Roman"/>
        </w:rPr>
        <w:t xml:space="preserve"> den Rijn: Kluwer Law International, 2009), </w:t>
      </w:r>
      <w:proofErr w:type="spellStart"/>
      <w:r w:rsidRPr="000645F4">
        <w:rPr>
          <w:rFonts w:ascii="Times New Roman" w:hAnsi="Times New Roman" w:cs="Times New Roman"/>
        </w:rPr>
        <w:t>hlm</w:t>
      </w:r>
      <w:proofErr w:type="spellEnd"/>
      <w:r w:rsidRPr="000645F4">
        <w:rPr>
          <w:rFonts w:ascii="Times New Roman" w:hAnsi="Times New Roman" w:cs="Times New Roman"/>
        </w:rPr>
        <w:t>. 25–54.</w:t>
      </w:r>
    </w:p>
    <w:p w14:paraId="5DC35B54"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Andrew Newcombe dan </w:t>
      </w:r>
      <w:proofErr w:type="spellStart"/>
      <w:r w:rsidRPr="000645F4">
        <w:rPr>
          <w:rFonts w:ascii="Times New Roman" w:hAnsi="Times New Roman" w:cs="Times New Roman"/>
        </w:rPr>
        <w:t>Lluís</w:t>
      </w:r>
      <w:proofErr w:type="spellEnd"/>
      <w:r w:rsidRPr="000645F4">
        <w:rPr>
          <w:rFonts w:ascii="Times New Roman" w:hAnsi="Times New Roman" w:cs="Times New Roman"/>
        </w:rPr>
        <w:t xml:space="preserve"> Paradell, </w:t>
      </w:r>
      <w:r w:rsidRPr="000645F4">
        <w:rPr>
          <w:rFonts w:ascii="Times New Roman" w:hAnsi="Times New Roman" w:cs="Times New Roman"/>
          <w:i/>
          <w:iCs/>
        </w:rPr>
        <w:t>Law and Practice of Investment Treaties: Standards of Treatment</w:t>
      </w:r>
      <w:r w:rsidRPr="000645F4">
        <w:rPr>
          <w:rFonts w:ascii="Times New Roman" w:hAnsi="Times New Roman" w:cs="Times New Roman"/>
        </w:rPr>
        <w:t xml:space="preserve"> (Alphen </w:t>
      </w:r>
      <w:proofErr w:type="spellStart"/>
      <w:r w:rsidRPr="000645F4">
        <w:rPr>
          <w:rFonts w:ascii="Times New Roman" w:hAnsi="Times New Roman" w:cs="Times New Roman"/>
        </w:rPr>
        <w:t>aan</w:t>
      </w:r>
      <w:proofErr w:type="spellEnd"/>
      <w:r w:rsidRPr="000645F4">
        <w:rPr>
          <w:rFonts w:ascii="Times New Roman" w:hAnsi="Times New Roman" w:cs="Times New Roman"/>
        </w:rPr>
        <w:t xml:space="preserve"> den Rijn: Kluwer Law International, 2009), </w:t>
      </w:r>
      <w:proofErr w:type="spellStart"/>
      <w:r w:rsidRPr="000645F4">
        <w:rPr>
          <w:rFonts w:ascii="Times New Roman" w:hAnsi="Times New Roman" w:cs="Times New Roman"/>
        </w:rPr>
        <w:t>hlm</w:t>
      </w:r>
      <w:proofErr w:type="spellEnd"/>
      <w:r w:rsidRPr="000645F4">
        <w:rPr>
          <w:rFonts w:ascii="Times New Roman" w:hAnsi="Times New Roman" w:cs="Times New Roman"/>
        </w:rPr>
        <w:t>. 245–270.</w:t>
      </w:r>
    </w:p>
    <w:p w14:paraId="2A9388B9"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Andrew Newcombe dan </w:t>
      </w:r>
      <w:proofErr w:type="spellStart"/>
      <w:r w:rsidRPr="000645F4">
        <w:rPr>
          <w:rFonts w:ascii="Times New Roman" w:hAnsi="Times New Roman" w:cs="Times New Roman"/>
        </w:rPr>
        <w:t>Lluís</w:t>
      </w:r>
      <w:proofErr w:type="spellEnd"/>
      <w:r w:rsidRPr="000645F4">
        <w:rPr>
          <w:rFonts w:ascii="Times New Roman" w:hAnsi="Times New Roman" w:cs="Times New Roman"/>
        </w:rPr>
        <w:t xml:space="preserve"> Paradell, </w:t>
      </w:r>
      <w:r w:rsidRPr="000645F4">
        <w:rPr>
          <w:rFonts w:ascii="Times New Roman" w:hAnsi="Times New Roman" w:cs="Times New Roman"/>
          <w:i/>
          <w:iCs/>
        </w:rPr>
        <w:t>Law and Practice of Investment Treaties: Standards of Treatment</w:t>
      </w:r>
      <w:r w:rsidRPr="000645F4">
        <w:rPr>
          <w:rFonts w:ascii="Times New Roman" w:hAnsi="Times New Roman" w:cs="Times New Roman"/>
        </w:rPr>
        <w:t xml:space="preserve"> (Alphen </w:t>
      </w:r>
      <w:proofErr w:type="spellStart"/>
      <w:r w:rsidRPr="000645F4">
        <w:rPr>
          <w:rFonts w:ascii="Times New Roman" w:hAnsi="Times New Roman" w:cs="Times New Roman"/>
        </w:rPr>
        <w:t>aan</w:t>
      </w:r>
      <w:proofErr w:type="spellEnd"/>
      <w:r w:rsidRPr="000645F4">
        <w:rPr>
          <w:rFonts w:ascii="Times New Roman" w:hAnsi="Times New Roman" w:cs="Times New Roman"/>
        </w:rPr>
        <w:t xml:space="preserve"> den Rijn: Kluwer Law International, 2009), </w:t>
      </w:r>
      <w:proofErr w:type="spellStart"/>
      <w:r w:rsidRPr="000645F4">
        <w:rPr>
          <w:rFonts w:ascii="Times New Roman" w:hAnsi="Times New Roman" w:cs="Times New Roman"/>
        </w:rPr>
        <w:t>hlm</w:t>
      </w:r>
      <w:proofErr w:type="spellEnd"/>
      <w:r w:rsidRPr="000645F4">
        <w:rPr>
          <w:rFonts w:ascii="Times New Roman" w:hAnsi="Times New Roman" w:cs="Times New Roman"/>
        </w:rPr>
        <w:t>. 341–386.</w:t>
      </w:r>
    </w:p>
    <w:p w14:paraId="78F0E790"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Campbell McLachlan, Laurence Shore, dan Matthew Weiniger, *International Investment Arbitration: Substantive Principles*, 3rd ed. (Oxford: Oxford University Press, 2024), </w:t>
      </w:r>
      <w:proofErr w:type="spellStart"/>
      <w:r w:rsidRPr="000645F4">
        <w:rPr>
          <w:rFonts w:ascii="Times New Roman" w:hAnsi="Times New Roman" w:cs="Times New Roman"/>
        </w:rPr>
        <w:t>hlm</w:t>
      </w:r>
      <w:proofErr w:type="spellEnd"/>
      <w:r w:rsidRPr="000645F4">
        <w:rPr>
          <w:rFonts w:ascii="Times New Roman" w:hAnsi="Times New Roman" w:cs="Times New Roman"/>
        </w:rPr>
        <w:t>. 3–28.</w:t>
      </w:r>
    </w:p>
    <w:p w14:paraId="4CF06EA8"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Campbell McLachlan, Laurence Shore, dan Matthew Weiniger, </w:t>
      </w:r>
      <w:r w:rsidRPr="000645F4">
        <w:rPr>
          <w:rFonts w:ascii="Times New Roman" w:hAnsi="Times New Roman" w:cs="Times New Roman"/>
          <w:i/>
          <w:iCs/>
        </w:rPr>
        <w:t>International Investment Arbitration: Substantive Principles</w:t>
      </w:r>
      <w:r w:rsidRPr="000645F4">
        <w:rPr>
          <w:rFonts w:ascii="Times New Roman" w:hAnsi="Times New Roman" w:cs="Times New Roman"/>
        </w:rPr>
        <w:t xml:space="preserve">, 3rd ed. (Oxford: Oxford University Press, 2024), </w:t>
      </w:r>
      <w:proofErr w:type="spellStart"/>
      <w:r w:rsidRPr="000645F4">
        <w:rPr>
          <w:rFonts w:ascii="Times New Roman" w:hAnsi="Times New Roman" w:cs="Times New Roman"/>
        </w:rPr>
        <w:t>hlm</w:t>
      </w:r>
      <w:proofErr w:type="spellEnd"/>
      <w:r w:rsidRPr="000645F4">
        <w:rPr>
          <w:rFonts w:ascii="Times New Roman" w:hAnsi="Times New Roman" w:cs="Times New Roman"/>
        </w:rPr>
        <w:t>. 315–340.</w:t>
      </w:r>
    </w:p>
    <w:p w14:paraId="3ED1F9E0"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Christoph H. </w:t>
      </w:r>
      <w:proofErr w:type="spellStart"/>
      <w:r w:rsidRPr="000645F4">
        <w:rPr>
          <w:rFonts w:ascii="Times New Roman" w:hAnsi="Times New Roman" w:cs="Times New Roman"/>
        </w:rPr>
        <w:t>Schreuer</w:t>
      </w:r>
      <w:proofErr w:type="spellEnd"/>
      <w:r w:rsidRPr="000645F4">
        <w:rPr>
          <w:rFonts w:ascii="Times New Roman" w:hAnsi="Times New Roman" w:cs="Times New Roman"/>
        </w:rPr>
        <w:t xml:space="preserve"> et al., *The ICSID Convention: A Commentary*, 3rd ed. (Cambridge: Cambridge University Press, 2022), </w:t>
      </w:r>
      <w:proofErr w:type="spellStart"/>
      <w:r w:rsidRPr="000645F4">
        <w:rPr>
          <w:rFonts w:ascii="Times New Roman" w:hAnsi="Times New Roman" w:cs="Times New Roman"/>
        </w:rPr>
        <w:t>hlm</w:t>
      </w:r>
      <w:proofErr w:type="spellEnd"/>
      <w:r w:rsidRPr="000645F4">
        <w:rPr>
          <w:rFonts w:ascii="Times New Roman" w:hAnsi="Times New Roman" w:cs="Times New Roman"/>
        </w:rPr>
        <w:t>. 1–52.</w:t>
      </w:r>
    </w:p>
    <w:p w14:paraId="186BCDDC"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Christoph H. </w:t>
      </w:r>
      <w:proofErr w:type="spellStart"/>
      <w:r w:rsidRPr="000645F4">
        <w:rPr>
          <w:rFonts w:ascii="Times New Roman" w:hAnsi="Times New Roman" w:cs="Times New Roman"/>
        </w:rPr>
        <w:t>Schreuer</w:t>
      </w:r>
      <w:proofErr w:type="spellEnd"/>
      <w:r w:rsidRPr="000645F4">
        <w:rPr>
          <w:rFonts w:ascii="Times New Roman" w:hAnsi="Times New Roman" w:cs="Times New Roman"/>
        </w:rPr>
        <w:t xml:space="preserve"> et al., </w:t>
      </w:r>
      <w:r w:rsidRPr="000645F4">
        <w:rPr>
          <w:rFonts w:ascii="Times New Roman" w:hAnsi="Times New Roman" w:cs="Times New Roman"/>
          <w:i/>
          <w:iCs/>
        </w:rPr>
        <w:t>The ICSID Convention: A Commentary</w:t>
      </w:r>
      <w:r w:rsidRPr="000645F4">
        <w:rPr>
          <w:rFonts w:ascii="Times New Roman" w:hAnsi="Times New Roman" w:cs="Times New Roman"/>
        </w:rPr>
        <w:t xml:space="preserve">, 3rd ed. (Cambridge: Cambridge University Press, 2022), </w:t>
      </w:r>
      <w:proofErr w:type="spellStart"/>
      <w:r w:rsidRPr="000645F4">
        <w:rPr>
          <w:rFonts w:ascii="Times New Roman" w:hAnsi="Times New Roman" w:cs="Times New Roman"/>
        </w:rPr>
        <w:t>hlm</w:t>
      </w:r>
      <w:proofErr w:type="spellEnd"/>
      <w:r w:rsidRPr="000645F4">
        <w:rPr>
          <w:rFonts w:ascii="Times New Roman" w:hAnsi="Times New Roman" w:cs="Times New Roman"/>
        </w:rPr>
        <w:t xml:space="preserve">. 1–45. </w:t>
      </w:r>
    </w:p>
    <w:p w14:paraId="7AC52F55"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Jeswald W. </w:t>
      </w:r>
      <w:proofErr w:type="spellStart"/>
      <w:r w:rsidRPr="000645F4">
        <w:rPr>
          <w:rFonts w:ascii="Times New Roman" w:hAnsi="Times New Roman" w:cs="Times New Roman"/>
        </w:rPr>
        <w:t>Salacuse</w:t>
      </w:r>
      <w:proofErr w:type="spellEnd"/>
      <w:r w:rsidRPr="000645F4">
        <w:rPr>
          <w:rFonts w:ascii="Times New Roman" w:hAnsi="Times New Roman" w:cs="Times New Roman"/>
        </w:rPr>
        <w:t xml:space="preserve">, *The Law of Investment Treaties*, 3rd ed. (Oxford: Oxford University Press, 2021), </w:t>
      </w:r>
      <w:proofErr w:type="spellStart"/>
      <w:r w:rsidRPr="000645F4">
        <w:rPr>
          <w:rFonts w:ascii="Times New Roman" w:hAnsi="Times New Roman" w:cs="Times New Roman"/>
        </w:rPr>
        <w:t>hlm</w:t>
      </w:r>
      <w:proofErr w:type="spellEnd"/>
      <w:r w:rsidRPr="000645F4">
        <w:rPr>
          <w:rFonts w:ascii="Times New Roman" w:hAnsi="Times New Roman" w:cs="Times New Roman"/>
        </w:rPr>
        <w:t>. 381–425.</w:t>
      </w:r>
    </w:p>
    <w:p w14:paraId="79B5DBD7"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Jeswald W. </w:t>
      </w:r>
      <w:proofErr w:type="spellStart"/>
      <w:r w:rsidRPr="000645F4">
        <w:rPr>
          <w:rFonts w:ascii="Times New Roman" w:hAnsi="Times New Roman" w:cs="Times New Roman"/>
        </w:rPr>
        <w:t>Salacuse</w:t>
      </w:r>
      <w:proofErr w:type="spellEnd"/>
      <w:r w:rsidRPr="000645F4">
        <w:rPr>
          <w:rFonts w:ascii="Times New Roman" w:hAnsi="Times New Roman" w:cs="Times New Roman"/>
        </w:rPr>
        <w:t xml:space="preserve">, </w:t>
      </w:r>
      <w:r w:rsidRPr="000645F4">
        <w:rPr>
          <w:rFonts w:ascii="Times New Roman" w:hAnsi="Times New Roman" w:cs="Times New Roman"/>
          <w:i/>
          <w:iCs/>
        </w:rPr>
        <w:t>The Law of Investment Treaties</w:t>
      </w:r>
      <w:r w:rsidRPr="000645F4">
        <w:rPr>
          <w:rFonts w:ascii="Times New Roman" w:hAnsi="Times New Roman" w:cs="Times New Roman"/>
        </w:rPr>
        <w:t xml:space="preserve">, 3rd ed. (Oxford: Oxford University Press, 2021), </w:t>
      </w:r>
      <w:proofErr w:type="spellStart"/>
      <w:r w:rsidRPr="000645F4">
        <w:rPr>
          <w:rFonts w:ascii="Times New Roman" w:hAnsi="Times New Roman" w:cs="Times New Roman"/>
        </w:rPr>
        <w:t>hlm</w:t>
      </w:r>
      <w:proofErr w:type="spellEnd"/>
      <w:r w:rsidRPr="000645F4">
        <w:rPr>
          <w:rFonts w:ascii="Times New Roman" w:hAnsi="Times New Roman" w:cs="Times New Roman"/>
        </w:rPr>
        <w:t>. 230–258.</w:t>
      </w:r>
    </w:p>
    <w:p w14:paraId="50BFD2FF"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M. Sornarajah, *The International Law on Foreign Investment*, 5th ed. (Cambridge: Cambridge University Press, 2021), </w:t>
      </w:r>
      <w:proofErr w:type="spellStart"/>
      <w:r w:rsidRPr="000645F4">
        <w:rPr>
          <w:rFonts w:ascii="Times New Roman" w:hAnsi="Times New Roman" w:cs="Times New Roman"/>
        </w:rPr>
        <w:t>hlm</w:t>
      </w:r>
      <w:proofErr w:type="spellEnd"/>
      <w:r w:rsidRPr="000645F4">
        <w:rPr>
          <w:rFonts w:ascii="Times New Roman" w:hAnsi="Times New Roman" w:cs="Times New Roman"/>
        </w:rPr>
        <w:t>. 323–352.</w:t>
      </w:r>
    </w:p>
    <w:p w14:paraId="6A0E5F45"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M. Sornarajah, </w:t>
      </w:r>
      <w:r w:rsidRPr="000645F4">
        <w:rPr>
          <w:rFonts w:ascii="Times New Roman" w:hAnsi="Times New Roman" w:cs="Times New Roman"/>
          <w:i/>
          <w:iCs/>
        </w:rPr>
        <w:t>The International Law on Foreign Investment</w:t>
      </w:r>
      <w:r w:rsidRPr="000645F4">
        <w:rPr>
          <w:rFonts w:ascii="Times New Roman" w:hAnsi="Times New Roman" w:cs="Times New Roman"/>
        </w:rPr>
        <w:t xml:space="preserve">, 5th ed. (Cambridge: Cambridge University Press, 2021), </w:t>
      </w:r>
      <w:proofErr w:type="spellStart"/>
      <w:r w:rsidRPr="000645F4">
        <w:rPr>
          <w:rFonts w:ascii="Times New Roman" w:hAnsi="Times New Roman" w:cs="Times New Roman"/>
        </w:rPr>
        <w:t>hlm</w:t>
      </w:r>
      <w:proofErr w:type="spellEnd"/>
      <w:r w:rsidRPr="000645F4">
        <w:rPr>
          <w:rFonts w:ascii="Times New Roman" w:hAnsi="Times New Roman" w:cs="Times New Roman"/>
        </w:rPr>
        <w:t xml:space="preserve">. 323–389. </w:t>
      </w:r>
    </w:p>
    <w:p w14:paraId="4469C3B7"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M. Sornarajah, </w:t>
      </w:r>
      <w:r w:rsidRPr="000645F4">
        <w:rPr>
          <w:rFonts w:ascii="Times New Roman" w:hAnsi="Times New Roman" w:cs="Times New Roman"/>
          <w:i/>
          <w:iCs/>
        </w:rPr>
        <w:t>The International Law on Foreign Investment</w:t>
      </w:r>
      <w:r w:rsidRPr="000645F4">
        <w:rPr>
          <w:rFonts w:ascii="Times New Roman" w:hAnsi="Times New Roman" w:cs="Times New Roman"/>
        </w:rPr>
        <w:t xml:space="preserve">, 5th ed. (Cambridge: Cambridge University Press, 2021), </w:t>
      </w:r>
      <w:proofErr w:type="spellStart"/>
      <w:r w:rsidRPr="000645F4">
        <w:rPr>
          <w:rFonts w:ascii="Times New Roman" w:hAnsi="Times New Roman" w:cs="Times New Roman"/>
        </w:rPr>
        <w:t>hlm</w:t>
      </w:r>
      <w:proofErr w:type="spellEnd"/>
      <w:r w:rsidRPr="000645F4">
        <w:rPr>
          <w:rFonts w:ascii="Times New Roman" w:hAnsi="Times New Roman" w:cs="Times New Roman"/>
        </w:rPr>
        <w:t>. 332–349.</w:t>
      </w:r>
    </w:p>
    <w:p w14:paraId="288621AB"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M. Sornarajah, </w:t>
      </w:r>
      <w:r w:rsidRPr="000645F4">
        <w:rPr>
          <w:rFonts w:ascii="Times New Roman" w:hAnsi="Times New Roman" w:cs="Times New Roman"/>
          <w:i/>
          <w:iCs/>
        </w:rPr>
        <w:t>The International Law on Foreign Investment</w:t>
      </w:r>
      <w:r w:rsidRPr="000645F4">
        <w:rPr>
          <w:rFonts w:ascii="Times New Roman" w:hAnsi="Times New Roman" w:cs="Times New Roman"/>
        </w:rPr>
        <w:t xml:space="preserve">, 5th ed. (Cambridge: Cambridge University Press, 2021), </w:t>
      </w:r>
      <w:proofErr w:type="spellStart"/>
      <w:r w:rsidRPr="000645F4">
        <w:rPr>
          <w:rFonts w:ascii="Times New Roman" w:hAnsi="Times New Roman" w:cs="Times New Roman"/>
        </w:rPr>
        <w:t>hlm</w:t>
      </w:r>
      <w:proofErr w:type="spellEnd"/>
      <w:r w:rsidRPr="000645F4">
        <w:rPr>
          <w:rFonts w:ascii="Times New Roman" w:hAnsi="Times New Roman" w:cs="Times New Roman"/>
        </w:rPr>
        <w:t>. 390–421.</w:t>
      </w:r>
    </w:p>
    <w:p w14:paraId="3CC65CF6" w14:textId="77777777" w:rsidR="001745B6" w:rsidRDefault="001745B6" w:rsidP="001745B6">
      <w:pPr>
        <w:ind w:firstLine="720"/>
        <w:rPr>
          <w:rFonts w:ascii="Times New Roman" w:hAnsi="Times New Roman" w:cs="Times New Roman"/>
        </w:rPr>
      </w:pPr>
      <w:r w:rsidRPr="000645F4">
        <w:rPr>
          <w:rFonts w:ascii="Times New Roman" w:hAnsi="Times New Roman" w:cs="Times New Roman"/>
        </w:rPr>
        <w:t xml:space="preserve">Malcolm N. Shaw, *International Law*, 9th ed. (Cambridge: Cambridge University Press, 2021), </w:t>
      </w:r>
      <w:proofErr w:type="spellStart"/>
      <w:r w:rsidRPr="000645F4">
        <w:rPr>
          <w:rFonts w:ascii="Times New Roman" w:hAnsi="Times New Roman" w:cs="Times New Roman"/>
        </w:rPr>
        <w:t>hlm</w:t>
      </w:r>
      <w:proofErr w:type="spellEnd"/>
      <w:r w:rsidRPr="000645F4">
        <w:rPr>
          <w:rFonts w:ascii="Times New Roman" w:hAnsi="Times New Roman" w:cs="Times New Roman"/>
        </w:rPr>
        <w:t>. 445–470.</w:t>
      </w:r>
    </w:p>
    <w:p w14:paraId="20E919EB" w14:textId="77777777" w:rsidR="001745B6" w:rsidRDefault="001745B6" w:rsidP="001745B6">
      <w:pPr>
        <w:ind w:firstLine="720"/>
        <w:rPr>
          <w:rFonts w:ascii="Times New Roman" w:hAnsi="Times New Roman" w:cs="Times New Roman"/>
        </w:rPr>
      </w:pPr>
      <w:r w:rsidRPr="000645F4">
        <w:rPr>
          <w:rFonts w:ascii="Times New Roman" w:hAnsi="Times New Roman" w:cs="Times New Roman"/>
        </w:rPr>
        <w:t xml:space="preserve">Malcolm N. Shaw, </w:t>
      </w:r>
      <w:r w:rsidRPr="000645F4">
        <w:rPr>
          <w:rFonts w:ascii="Times New Roman" w:hAnsi="Times New Roman" w:cs="Times New Roman"/>
          <w:i/>
          <w:iCs/>
        </w:rPr>
        <w:t>International Law</w:t>
      </w:r>
      <w:r w:rsidRPr="000645F4">
        <w:rPr>
          <w:rFonts w:ascii="Times New Roman" w:hAnsi="Times New Roman" w:cs="Times New Roman"/>
        </w:rPr>
        <w:t xml:space="preserve">, 9th ed. (Cambridge: Cambridge University Press, 2021), </w:t>
      </w:r>
      <w:proofErr w:type="spellStart"/>
      <w:r w:rsidRPr="000645F4">
        <w:rPr>
          <w:rFonts w:ascii="Times New Roman" w:hAnsi="Times New Roman" w:cs="Times New Roman"/>
        </w:rPr>
        <w:t>hlm</w:t>
      </w:r>
      <w:proofErr w:type="spellEnd"/>
      <w:r w:rsidRPr="000645F4">
        <w:rPr>
          <w:rFonts w:ascii="Times New Roman" w:hAnsi="Times New Roman" w:cs="Times New Roman"/>
        </w:rPr>
        <w:t>. 445–470.</w:t>
      </w:r>
    </w:p>
    <w:p w14:paraId="299409F7"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Malcolm N. Shaw, </w:t>
      </w:r>
      <w:r w:rsidRPr="000645F4">
        <w:rPr>
          <w:rFonts w:ascii="Times New Roman" w:hAnsi="Times New Roman" w:cs="Times New Roman"/>
          <w:i/>
          <w:iCs/>
        </w:rPr>
        <w:t>International Law</w:t>
      </w:r>
      <w:r w:rsidRPr="000645F4">
        <w:rPr>
          <w:rFonts w:ascii="Times New Roman" w:hAnsi="Times New Roman" w:cs="Times New Roman"/>
        </w:rPr>
        <w:t xml:space="preserve">, 9th ed. (Cambridge: Cambridge University Press, 2021), </w:t>
      </w:r>
      <w:proofErr w:type="spellStart"/>
      <w:r w:rsidRPr="000645F4">
        <w:rPr>
          <w:rFonts w:ascii="Times New Roman" w:hAnsi="Times New Roman" w:cs="Times New Roman"/>
        </w:rPr>
        <w:t>hlm</w:t>
      </w:r>
      <w:proofErr w:type="spellEnd"/>
      <w:r w:rsidRPr="000645F4">
        <w:rPr>
          <w:rFonts w:ascii="Times New Roman" w:hAnsi="Times New Roman" w:cs="Times New Roman"/>
        </w:rPr>
        <w:t>. 445–470.</w:t>
      </w:r>
    </w:p>
    <w:p w14:paraId="2F4F080C"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Rudolf Dolzer, Ursula Kriebaum, dan Christoph Schreuer, *Principles of International Investment Law*, 3rd ed. (Oxford: Oxford University Press, 2022), </w:t>
      </w:r>
      <w:proofErr w:type="spellStart"/>
      <w:r w:rsidRPr="000645F4">
        <w:rPr>
          <w:rFonts w:ascii="Times New Roman" w:hAnsi="Times New Roman" w:cs="Times New Roman"/>
        </w:rPr>
        <w:t>hlm</w:t>
      </w:r>
      <w:proofErr w:type="spellEnd"/>
      <w:r w:rsidRPr="000645F4">
        <w:rPr>
          <w:rFonts w:ascii="Times New Roman" w:hAnsi="Times New Roman" w:cs="Times New Roman"/>
        </w:rPr>
        <w:t>. 1–15.</w:t>
      </w:r>
    </w:p>
    <w:p w14:paraId="05F47A7F"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Rudolf Dolzer, Ursula Kriebaum, dan Christoph Schreuer, </w:t>
      </w:r>
      <w:r w:rsidRPr="000645F4">
        <w:rPr>
          <w:rFonts w:ascii="Times New Roman" w:hAnsi="Times New Roman" w:cs="Times New Roman"/>
          <w:i/>
          <w:iCs/>
        </w:rPr>
        <w:t>Principles of International Investment Law</w:t>
      </w:r>
      <w:r w:rsidRPr="000645F4">
        <w:rPr>
          <w:rFonts w:ascii="Times New Roman" w:hAnsi="Times New Roman" w:cs="Times New Roman"/>
        </w:rPr>
        <w:t xml:space="preserve">, 3rd ed. (Oxford: Oxford University Press, 2022), </w:t>
      </w:r>
      <w:proofErr w:type="spellStart"/>
      <w:r w:rsidRPr="000645F4">
        <w:rPr>
          <w:rFonts w:ascii="Times New Roman" w:hAnsi="Times New Roman" w:cs="Times New Roman"/>
        </w:rPr>
        <w:t>hlm</w:t>
      </w:r>
      <w:proofErr w:type="spellEnd"/>
      <w:r w:rsidRPr="000645F4">
        <w:rPr>
          <w:rFonts w:ascii="Times New Roman" w:hAnsi="Times New Roman" w:cs="Times New Roman"/>
        </w:rPr>
        <w:t xml:space="preserve">. 95–180. </w:t>
      </w:r>
    </w:p>
    <w:p w14:paraId="0F0C0E37"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Rudolf Dolzer, Ursula Kriebaum, dan Christoph Schreuer, </w:t>
      </w:r>
      <w:r w:rsidRPr="000645F4">
        <w:rPr>
          <w:rFonts w:ascii="Times New Roman" w:hAnsi="Times New Roman" w:cs="Times New Roman"/>
          <w:i/>
          <w:iCs/>
        </w:rPr>
        <w:t>Principles of International Investment Law</w:t>
      </w:r>
      <w:r w:rsidRPr="000645F4">
        <w:rPr>
          <w:rFonts w:ascii="Times New Roman" w:hAnsi="Times New Roman" w:cs="Times New Roman"/>
        </w:rPr>
        <w:t xml:space="preserve">, 3rd ed. (Oxford: Oxford University Press, 2022), </w:t>
      </w:r>
      <w:proofErr w:type="spellStart"/>
      <w:r w:rsidRPr="000645F4">
        <w:rPr>
          <w:rFonts w:ascii="Times New Roman" w:hAnsi="Times New Roman" w:cs="Times New Roman"/>
        </w:rPr>
        <w:t>hlm</w:t>
      </w:r>
      <w:proofErr w:type="spellEnd"/>
      <w:r w:rsidRPr="000645F4">
        <w:rPr>
          <w:rFonts w:ascii="Times New Roman" w:hAnsi="Times New Roman" w:cs="Times New Roman"/>
        </w:rPr>
        <w:t>. 95–110.</w:t>
      </w:r>
    </w:p>
    <w:p w14:paraId="5C8A10AC"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Rudolf Dolzer, Ursula Kriebaum, dan Christoph Schreuer, </w:t>
      </w:r>
      <w:r w:rsidRPr="000645F4">
        <w:rPr>
          <w:rFonts w:ascii="Times New Roman" w:hAnsi="Times New Roman" w:cs="Times New Roman"/>
          <w:i/>
          <w:iCs/>
        </w:rPr>
        <w:t>Principles of International Investment Law</w:t>
      </w:r>
      <w:r w:rsidRPr="000645F4">
        <w:rPr>
          <w:rFonts w:ascii="Times New Roman" w:hAnsi="Times New Roman" w:cs="Times New Roman"/>
        </w:rPr>
        <w:t xml:space="preserve">, 3rd ed. (Oxford: Oxford University Press, 2022), </w:t>
      </w:r>
      <w:proofErr w:type="spellStart"/>
      <w:r w:rsidRPr="000645F4">
        <w:rPr>
          <w:rFonts w:ascii="Times New Roman" w:hAnsi="Times New Roman" w:cs="Times New Roman"/>
        </w:rPr>
        <w:t>hlm</w:t>
      </w:r>
      <w:proofErr w:type="spellEnd"/>
      <w:r w:rsidRPr="000645F4">
        <w:rPr>
          <w:rFonts w:ascii="Times New Roman" w:hAnsi="Times New Roman" w:cs="Times New Roman"/>
        </w:rPr>
        <w:t>. 167–182.</w:t>
      </w:r>
    </w:p>
    <w:p w14:paraId="37AE7545"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Stephan W. Schill (ed.), *International Investment Law and Comparative Public Law* (Oxford: Oxford University Press, 2010), </w:t>
      </w:r>
      <w:proofErr w:type="spellStart"/>
      <w:r w:rsidRPr="000645F4">
        <w:rPr>
          <w:rFonts w:ascii="Times New Roman" w:hAnsi="Times New Roman" w:cs="Times New Roman"/>
        </w:rPr>
        <w:t>hlm</w:t>
      </w:r>
      <w:proofErr w:type="spellEnd"/>
      <w:r w:rsidRPr="000645F4">
        <w:rPr>
          <w:rFonts w:ascii="Times New Roman" w:hAnsi="Times New Roman" w:cs="Times New Roman"/>
        </w:rPr>
        <w:t>. 15–39.</w:t>
      </w:r>
    </w:p>
    <w:p w14:paraId="3AD5A94A"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Stephan W. Schill (ed.), </w:t>
      </w:r>
      <w:r w:rsidRPr="000645F4">
        <w:rPr>
          <w:rFonts w:ascii="Times New Roman" w:hAnsi="Times New Roman" w:cs="Times New Roman"/>
          <w:i/>
          <w:iCs/>
        </w:rPr>
        <w:t>International Investment Law and Comparative Public Law</w:t>
      </w:r>
      <w:r w:rsidRPr="000645F4">
        <w:rPr>
          <w:rFonts w:ascii="Times New Roman" w:hAnsi="Times New Roman" w:cs="Times New Roman"/>
        </w:rPr>
        <w:t xml:space="preserve"> (Oxford: Oxford University Press, 2010), </w:t>
      </w:r>
      <w:proofErr w:type="spellStart"/>
      <w:r w:rsidRPr="000645F4">
        <w:rPr>
          <w:rFonts w:ascii="Times New Roman" w:hAnsi="Times New Roman" w:cs="Times New Roman"/>
        </w:rPr>
        <w:t>hlm</w:t>
      </w:r>
      <w:proofErr w:type="spellEnd"/>
      <w:r w:rsidRPr="000645F4">
        <w:rPr>
          <w:rFonts w:ascii="Times New Roman" w:hAnsi="Times New Roman" w:cs="Times New Roman"/>
        </w:rPr>
        <w:t>. 611–640.</w:t>
      </w:r>
    </w:p>
    <w:p w14:paraId="31CC51D4"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United Nations Commission on International Trade Law (UNCITRAL), *UNCITRAL Arbitration Rules* (New York: United Nations, 2021), </w:t>
      </w:r>
      <w:proofErr w:type="spellStart"/>
      <w:r w:rsidRPr="000645F4">
        <w:rPr>
          <w:rFonts w:ascii="Times New Roman" w:hAnsi="Times New Roman" w:cs="Times New Roman"/>
        </w:rPr>
        <w:t>hlm</w:t>
      </w:r>
      <w:proofErr w:type="spellEnd"/>
      <w:r w:rsidRPr="000645F4">
        <w:rPr>
          <w:rFonts w:ascii="Times New Roman" w:hAnsi="Times New Roman" w:cs="Times New Roman"/>
        </w:rPr>
        <w:t>. 1–12.</w:t>
      </w:r>
    </w:p>
    <w:p w14:paraId="066BF29C"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United Nations Conference on Trade and Development (UNCTAD), *World Investment Report 2024: Investment Facilitation and Digital Government* (New York: United Nations, 2024), </w:t>
      </w:r>
      <w:proofErr w:type="spellStart"/>
      <w:r w:rsidRPr="000645F4">
        <w:rPr>
          <w:rFonts w:ascii="Times New Roman" w:hAnsi="Times New Roman" w:cs="Times New Roman"/>
        </w:rPr>
        <w:t>hlm</w:t>
      </w:r>
      <w:proofErr w:type="spellEnd"/>
      <w:r w:rsidRPr="000645F4">
        <w:rPr>
          <w:rFonts w:ascii="Times New Roman" w:hAnsi="Times New Roman" w:cs="Times New Roman"/>
        </w:rPr>
        <w:t>. 102–118.</w:t>
      </w:r>
    </w:p>
    <w:p w14:paraId="7646EDCF" w14:textId="77777777" w:rsidR="001745B6" w:rsidRPr="000645F4" w:rsidRDefault="001745B6" w:rsidP="001745B6">
      <w:pPr>
        <w:ind w:firstLine="720"/>
        <w:rPr>
          <w:rFonts w:ascii="Times New Roman" w:hAnsi="Times New Roman" w:cs="Times New Roman"/>
        </w:rPr>
      </w:pPr>
      <w:r w:rsidRPr="000645F4">
        <w:rPr>
          <w:rFonts w:ascii="Times New Roman" w:hAnsi="Times New Roman" w:cs="Times New Roman"/>
        </w:rPr>
        <w:t xml:space="preserve">United Nations Conference on Trade and Development (UNCTAD), </w:t>
      </w:r>
      <w:r w:rsidRPr="000645F4">
        <w:rPr>
          <w:rFonts w:ascii="Times New Roman" w:hAnsi="Times New Roman" w:cs="Times New Roman"/>
          <w:i/>
          <w:iCs/>
        </w:rPr>
        <w:t>World Investment Report 2024: Investment Facilitation and Digital Government</w:t>
      </w:r>
      <w:r w:rsidRPr="000645F4">
        <w:rPr>
          <w:rFonts w:ascii="Times New Roman" w:hAnsi="Times New Roman" w:cs="Times New Roman"/>
        </w:rPr>
        <w:t xml:space="preserve"> (New York: United Nations, 2024), </w:t>
      </w:r>
      <w:proofErr w:type="spellStart"/>
      <w:r w:rsidRPr="000645F4">
        <w:rPr>
          <w:rFonts w:ascii="Times New Roman" w:hAnsi="Times New Roman" w:cs="Times New Roman"/>
        </w:rPr>
        <w:t>hlm</w:t>
      </w:r>
      <w:proofErr w:type="spellEnd"/>
      <w:r w:rsidRPr="000645F4">
        <w:rPr>
          <w:rFonts w:ascii="Times New Roman" w:hAnsi="Times New Roman" w:cs="Times New Roman"/>
        </w:rPr>
        <w:t xml:space="preserve">. 1–20. </w:t>
      </w:r>
    </w:p>
    <w:p w14:paraId="086E10A7" w14:textId="77777777" w:rsidR="001745B6" w:rsidRPr="00442C0A" w:rsidRDefault="001745B6" w:rsidP="001745B6">
      <w:pPr>
        <w:rPr>
          <w:rFonts w:ascii="Times New Roman" w:hAnsi="Times New Roman" w:cs="Times New Roman"/>
        </w:rPr>
      </w:pPr>
    </w:p>
    <w:p w14:paraId="01819802" w14:textId="77777777" w:rsidR="001745B6" w:rsidRPr="00442C0A" w:rsidRDefault="001745B6" w:rsidP="001745B6">
      <w:pPr>
        <w:rPr>
          <w:rFonts w:ascii="Times New Roman" w:hAnsi="Times New Roman" w:cs="Times New Roman"/>
        </w:rPr>
      </w:pPr>
    </w:p>
    <w:p w14:paraId="32302666" w14:textId="454448A4" w:rsidR="00765FAD" w:rsidRPr="00F76372" w:rsidRDefault="00765FAD" w:rsidP="001745B6">
      <w:pPr>
        <w:spacing w:after="0" w:line="240" w:lineRule="auto"/>
        <w:ind w:firstLine="567"/>
        <w:jc w:val="both"/>
        <w:rPr>
          <w:rFonts w:ascii="Times New Roman" w:hAnsi="Times New Roman" w:cs="Times New Roman"/>
        </w:rPr>
      </w:pPr>
    </w:p>
    <w:sectPr w:rsidR="00765FAD" w:rsidRPr="00F76372">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BF5A8" w14:textId="77777777" w:rsidR="001B64D5" w:rsidRDefault="001B64D5" w:rsidP="0009793C">
      <w:pPr>
        <w:spacing w:after="0" w:line="240" w:lineRule="auto"/>
      </w:pPr>
      <w:r>
        <w:separator/>
      </w:r>
    </w:p>
  </w:endnote>
  <w:endnote w:type="continuationSeparator" w:id="0">
    <w:p w14:paraId="23BE74B1" w14:textId="77777777" w:rsidR="001B64D5" w:rsidRDefault="001B64D5" w:rsidP="00097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911392"/>
      <w:docPartObj>
        <w:docPartGallery w:val="Page Numbers (Bottom of Page)"/>
        <w:docPartUnique/>
      </w:docPartObj>
    </w:sdtPr>
    <w:sdtEndPr>
      <w:rPr>
        <w:noProof/>
      </w:rPr>
    </w:sdtEndPr>
    <w:sdtContent>
      <w:p w14:paraId="7F3D6A66" w14:textId="77777777" w:rsidR="001436D8" w:rsidRDefault="001436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27CD47" w14:textId="77777777" w:rsidR="00B92BA9" w:rsidRDefault="00B92BA9">
    <w:pP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6EB8D" w14:textId="77777777" w:rsidR="001B64D5" w:rsidRDefault="001B64D5" w:rsidP="0009793C">
      <w:pPr>
        <w:spacing w:after="0" w:line="240" w:lineRule="auto"/>
      </w:pPr>
      <w:r>
        <w:separator/>
      </w:r>
    </w:p>
  </w:footnote>
  <w:footnote w:type="continuationSeparator" w:id="0">
    <w:p w14:paraId="1C8B4065" w14:textId="77777777" w:rsidR="001B64D5" w:rsidRDefault="001B64D5" w:rsidP="0009793C">
      <w:pPr>
        <w:spacing w:after="0" w:line="240" w:lineRule="auto"/>
      </w:pPr>
      <w:r>
        <w:continuationSeparator/>
      </w:r>
    </w:p>
  </w:footnote>
  <w:footnote w:id="1">
    <w:p w14:paraId="01F32F19" w14:textId="2FBEAB5E" w:rsidR="00E427ED" w:rsidRPr="00E427ED" w:rsidRDefault="00E427ED">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United Nations Conference on Trade and Development (UNCTAD), </w:t>
      </w:r>
      <w:r w:rsidR="00005859" w:rsidRPr="007D1AF2">
        <w:rPr>
          <w:rFonts w:ascii="Times New Roman" w:hAnsi="Times New Roman" w:cs="Times New Roman"/>
          <w:i/>
          <w:iCs/>
        </w:rPr>
        <w:t>World Investment Report 2024: Investment Facilitation and Digital Government</w:t>
      </w:r>
      <w:r w:rsidR="00005859" w:rsidRPr="007D1AF2">
        <w:rPr>
          <w:rFonts w:ascii="Times New Roman" w:hAnsi="Times New Roman" w:cs="Times New Roman"/>
        </w:rPr>
        <w:t xml:space="preserve"> (New York: United Nations, 2024), hlm. 1–20.</w:t>
      </w:r>
    </w:p>
  </w:footnote>
  <w:footnote w:id="2">
    <w:p w14:paraId="0D782E8F" w14:textId="32BE1A0B" w:rsidR="00E427ED" w:rsidRPr="00E427ED" w:rsidRDefault="00E427ED">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Christoph H. </w:t>
      </w:r>
      <w:r w:rsidR="00005859" w:rsidRPr="007D1AF2">
        <w:rPr>
          <w:rFonts w:ascii="Times New Roman" w:hAnsi="Times New Roman" w:cs="Times New Roman"/>
        </w:rPr>
        <w:t xml:space="preserve">Schreuer et al., </w:t>
      </w:r>
      <w:r w:rsidR="00005859" w:rsidRPr="007D1AF2">
        <w:rPr>
          <w:rFonts w:ascii="Times New Roman" w:hAnsi="Times New Roman" w:cs="Times New Roman"/>
          <w:i/>
          <w:iCs/>
        </w:rPr>
        <w:t>The ICSID Convention: A Commentary</w:t>
      </w:r>
      <w:r w:rsidR="00005859" w:rsidRPr="007D1AF2">
        <w:rPr>
          <w:rFonts w:ascii="Times New Roman" w:hAnsi="Times New Roman" w:cs="Times New Roman"/>
        </w:rPr>
        <w:t>, 3rd ed. (Cambridge: Cambridge University Press, 2022), hlm. 1–45.</w:t>
      </w:r>
    </w:p>
  </w:footnote>
  <w:footnote w:id="3">
    <w:p w14:paraId="3E6409EF" w14:textId="14E1FFB7" w:rsidR="00E427ED" w:rsidRPr="00E427ED" w:rsidRDefault="00E427ED">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Rudolf Dolzer, Ursula Kriebaum, dan Christoph Schreuer, </w:t>
      </w:r>
      <w:r w:rsidR="00005859" w:rsidRPr="007D1AF2">
        <w:rPr>
          <w:rFonts w:ascii="Times New Roman" w:hAnsi="Times New Roman" w:cs="Times New Roman"/>
          <w:i/>
          <w:iCs/>
        </w:rPr>
        <w:t>Principles of International Investment Law</w:t>
      </w:r>
      <w:r w:rsidR="00005859" w:rsidRPr="007D1AF2">
        <w:rPr>
          <w:rFonts w:ascii="Times New Roman" w:hAnsi="Times New Roman" w:cs="Times New Roman"/>
        </w:rPr>
        <w:t xml:space="preserve">, 3rd ed. (Oxford: Oxford University Press, 2022), </w:t>
      </w:r>
      <w:r w:rsidR="00005859" w:rsidRPr="007D1AF2">
        <w:rPr>
          <w:rFonts w:ascii="Times New Roman" w:hAnsi="Times New Roman" w:cs="Times New Roman"/>
        </w:rPr>
        <w:t>hlm. 95–180.</w:t>
      </w:r>
    </w:p>
  </w:footnote>
  <w:footnote w:id="4">
    <w:p w14:paraId="471ED2EB" w14:textId="759A3FE1" w:rsidR="00E427ED" w:rsidRPr="00E427ED" w:rsidRDefault="00E427ED">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M. Sornarajah, </w:t>
      </w:r>
      <w:r w:rsidR="00005859" w:rsidRPr="007D1AF2">
        <w:rPr>
          <w:rFonts w:ascii="Times New Roman" w:hAnsi="Times New Roman" w:cs="Times New Roman"/>
          <w:i/>
          <w:iCs/>
        </w:rPr>
        <w:t>The International Law on Foreign Investment</w:t>
      </w:r>
      <w:r w:rsidR="00005859" w:rsidRPr="007D1AF2">
        <w:rPr>
          <w:rFonts w:ascii="Times New Roman" w:hAnsi="Times New Roman" w:cs="Times New Roman"/>
        </w:rPr>
        <w:t xml:space="preserve">, 5th ed. (Cambridge: Cambridge University Press, 2021), </w:t>
      </w:r>
      <w:r w:rsidR="00005859" w:rsidRPr="007D1AF2">
        <w:rPr>
          <w:rFonts w:ascii="Times New Roman" w:hAnsi="Times New Roman" w:cs="Times New Roman"/>
        </w:rPr>
        <w:t>hlm. 323–389.</w:t>
      </w:r>
    </w:p>
  </w:footnote>
  <w:footnote w:id="5">
    <w:p w14:paraId="76F7260C" w14:textId="0B252C1B" w:rsidR="00E427ED" w:rsidRPr="00E427ED" w:rsidRDefault="00E427ED">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Malcolm N. Shaw, </w:t>
      </w:r>
      <w:r w:rsidR="00005859" w:rsidRPr="007D1AF2">
        <w:rPr>
          <w:rFonts w:ascii="Times New Roman" w:hAnsi="Times New Roman" w:cs="Times New Roman"/>
          <w:i/>
          <w:iCs/>
        </w:rPr>
        <w:t>International Law</w:t>
      </w:r>
      <w:r w:rsidR="00005859" w:rsidRPr="007D1AF2">
        <w:rPr>
          <w:rFonts w:ascii="Times New Roman" w:hAnsi="Times New Roman" w:cs="Times New Roman"/>
        </w:rPr>
        <w:t xml:space="preserve">, 9th ed. (Cambridge: Cambridge University Press, 2021), </w:t>
      </w:r>
      <w:r w:rsidR="00005859" w:rsidRPr="007D1AF2">
        <w:rPr>
          <w:rFonts w:ascii="Times New Roman" w:hAnsi="Times New Roman" w:cs="Times New Roman"/>
        </w:rPr>
        <w:t>hlm. 445–470.</w:t>
      </w:r>
    </w:p>
  </w:footnote>
  <w:footnote w:id="6">
    <w:p w14:paraId="60584F0D" w14:textId="5C73B4D6"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Rudolf Dolzer, Ursula Kriebaum, dan Christoph Schreuer, *Principles of International Investment Law*, 3rd ed. (Oxford: Oxford University Press, 2022), </w:t>
      </w:r>
      <w:r w:rsidR="00005859" w:rsidRPr="007D1AF2">
        <w:rPr>
          <w:rFonts w:ascii="Times New Roman" w:hAnsi="Times New Roman" w:cs="Times New Roman"/>
        </w:rPr>
        <w:t>hlm. 1–15</w:t>
      </w:r>
    </w:p>
  </w:footnote>
  <w:footnote w:id="7">
    <w:p w14:paraId="69316B7C" w14:textId="77031D09"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Campbell McLachlan, Laurence Shore, dan Matthew Weiniger, *International Investment Arbitration: Substantive Principles*, 3rd ed. (Oxford: Oxford University Press, 2024), </w:t>
      </w:r>
      <w:r w:rsidR="00005859" w:rsidRPr="007D1AF2">
        <w:rPr>
          <w:rFonts w:ascii="Times New Roman" w:hAnsi="Times New Roman" w:cs="Times New Roman"/>
        </w:rPr>
        <w:t>hlm. 3–28.</w:t>
      </w:r>
    </w:p>
  </w:footnote>
  <w:footnote w:id="8">
    <w:p w14:paraId="33AA15E0" w14:textId="541BE052"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Andrew Newcombe dan </w:t>
      </w:r>
      <w:r w:rsidR="00005859" w:rsidRPr="007D1AF2">
        <w:rPr>
          <w:rFonts w:ascii="Times New Roman" w:hAnsi="Times New Roman" w:cs="Times New Roman"/>
        </w:rPr>
        <w:t>Lluís Paradell, *Law and Practice of Investment Treaties: Standards of Treatment* (Alphen aan den Rijn: Kluwer Law International, 2009), hlm. 25–54.</w:t>
      </w:r>
    </w:p>
  </w:footnote>
  <w:footnote w:id="9">
    <w:p w14:paraId="4C803F3B" w14:textId="6C4F0B14"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Christoph H. </w:t>
      </w:r>
      <w:r w:rsidR="00005859" w:rsidRPr="007D1AF2">
        <w:rPr>
          <w:rFonts w:ascii="Times New Roman" w:hAnsi="Times New Roman" w:cs="Times New Roman"/>
        </w:rPr>
        <w:t>Schreuer et al., *The ICSID Convention: A Commentary*, 3rd ed. (Cambridge: Cambridge University Press, 2022), hlm. 1–52.</w:t>
      </w:r>
    </w:p>
  </w:footnote>
  <w:footnote w:id="10">
    <w:p w14:paraId="693A9399" w14:textId="2D421991"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United Nations Commission on International Trade Law (UNCITRAL), *UNCITRAL Arbitration Rules* (New York: United Nations, 2021), </w:t>
      </w:r>
      <w:r w:rsidR="00005859" w:rsidRPr="007D1AF2">
        <w:rPr>
          <w:rFonts w:ascii="Times New Roman" w:hAnsi="Times New Roman" w:cs="Times New Roman"/>
        </w:rPr>
        <w:t>hlm. 1–12.</w:t>
      </w:r>
    </w:p>
  </w:footnote>
  <w:footnote w:id="11">
    <w:p w14:paraId="3797AE96" w14:textId="0C56EFDE"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Jeswald W. </w:t>
      </w:r>
      <w:r w:rsidR="00005859" w:rsidRPr="007D1AF2">
        <w:rPr>
          <w:rFonts w:ascii="Times New Roman" w:hAnsi="Times New Roman" w:cs="Times New Roman"/>
        </w:rPr>
        <w:t>Salacuse, *The Law of Investment Treaties*, 3rd ed. (Oxford: Oxford University Press, 2021), hlm. 381–425.</w:t>
      </w:r>
    </w:p>
  </w:footnote>
  <w:footnote w:id="12">
    <w:p w14:paraId="7B5EE507" w14:textId="3FA7A412"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M. Sornarajah, *The International Law on Foreign Investment*, 5th ed. (Cambridge: Cambridge University Press, 2021), </w:t>
      </w:r>
      <w:r w:rsidR="00005859" w:rsidRPr="007D1AF2">
        <w:rPr>
          <w:rFonts w:ascii="Times New Roman" w:hAnsi="Times New Roman" w:cs="Times New Roman"/>
        </w:rPr>
        <w:t>hlm. 323–352.</w:t>
      </w:r>
    </w:p>
  </w:footnote>
  <w:footnote w:id="13">
    <w:p w14:paraId="2C69D795" w14:textId="77777777" w:rsidR="0098277B" w:rsidRPr="00E70890" w:rsidRDefault="0098277B" w:rsidP="0098277B">
      <w:pPr>
        <w:pStyle w:val="FootnoteText"/>
        <w:rPr>
          <w:lang w:val="en-GB"/>
        </w:rPr>
      </w:pPr>
      <w:r>
        <w:rPr>
          <w:rStyle w:val="FootnoteReference"/>
        </w:rPr>
        <w:footnoteRef/>
      </w:r>
      <w:r>
        <w:t xml:space="preserve"> </w:t>
      </w:r>
      <w:r w:rsidRPr="007D1AF2">
        <w:rPr>
          <w:rFonts w:ascii="Times New Roman" w:hAnsi="Times New Roman" w:cs="Times New Roman"/>
        </w:rPr>
        <w:t xml:space="preserve">Stephan W. Schill (ed.), *International Investment Law and Comparative Public Law* (Oxford: Oxford University Press, 2010), </w:t>
      </w:r>
      <w:r w:rsidRPr="007D1AF2">
        <w:rPr>
          <w:rFonts w:ascii="Times New Roman" w:hAnsi="Times New Roman" w:cs="Times New Roman"/>
        </w:rPr>
        <w:t>hlm. 15–39.</w:t>
      </w:r>
    </w:p>
  </w:footnote>
  <w:footnote w:id="14">
    <w:p w14:paraId="7AE1C23F" w14:textId="5B0F91AF"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Stephan W. Schill (ed.), *International Investment Law and Comparative Public Law* (Oxford: Oxford University Press, 2010), </w:t>
      </w:r>
      <w:r w:rsidR="00005859" w:rsidRPr="007D1AF2">
        <w:rPr>
          <w:rFonts w:ascii="Times New Roman" w:hAnsi="Times New Roman" w:cs="Times New Roman"/>
        </w:rPr>
        <w:t>hlm. 15–39.</w:t>
      </w:r>
    </w:p>
  </w:footnote>
  <w:footnote w:id="15">
    <w:p w14:paraId="689351FE" w14:textId="3E864F06"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Malcolm N. Shaw, *International Law*, 9th ed. (Cambridge: Cambridge University Press, 2021), </w:t>
      </w:r>
      <w:r w:rsidR="00005859" w:rsidRPr="007D1AF2">
        <w:rPr>
          <w:rFonts w:ascii="Times New Roman" w:hAnsi="Times New Roman" w:cs="Times New Roman"/>
        </w:rPr>
        <w:t>hlm. 445–470.</w:t>
      </w:r>
    </w:p>
  </w:footnote>
  <w:footnote w:id="16">
    <w:p w14:paraId="2D701D2D" w14:textId="24F1A00E"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Rudolf Dolzer, Ursula Kriebaum, dan Christoph Schreuer, </w:t>
      </w:r>
      <w:r w:rsidR="00005859" w:rsidRPr="007D1AF2">
        <w:rPr>
          <w:rFonts w:ascii="Times New Roman" w:hAnsi="Times New Roman" w:cs="Times New Roman"/>
          <w:i/>
          <w:iCs/>
        </w:rPr>
        <w:t>Principles of International Investment Law</w:t>
      </w:r>
      <w:r w:rsidR="00005859" w:rsidRPr="007D1AF2">
        <w:rPr>
          <w:rFonts w:ascii="Times New Roman" w:hAnsi="Times New Roman" w:cs="Times New Roman"/>
        </w:rPr>
        <w:t xml:space="preserve">, 3rd ed. (Oxford: Oxford University Press, 2022), </w:t>
      </w:r>
      <w:r w:rsidR="00005859" w:rsidRPr="007D1AF2">
        <w:rPr>
          <w:rFonts w:ascii="Times New Roman" w:hAnsi="Times New Roman" w:cs="Times New Roman"/>
        </w:rPr>
        <w:t>hlm. 95–110.</w:t>
      </w:r>
    </w:p>
  </w:footnote>
  <w:footnote w:id="17">
    <w:p w14:paraId="3CDE6F96" w14:textId="64D41DAA"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Andrew Newcombe dan </w:t>
      </w:r>
      <w:r w:rsidR="00005859" w:rsidRPr="007D1AF2">
        <w:rPr>
          <w:rFonts w:ascii="Times New Roman" w:hAnsi="Times New Roman" w:cs="Times New Roman"/>
        </w:rPr>
        <w:t xml:space="preserve">Lluís Paradell, </w:t>
      </w:r>
      <w:r w:rsidR="00005859" w:rsidRPr="007D1AF2">
        <w:rPr>
          <w:rFonts w:ascii="Times New Roman" w:hAnsi="Times New Roman" w:cs="Times New Roman"/>
          <w:i/>
          <w:iCs/>
        </w:rPr>
        <w:t>Law and Practice of Investment Treaties: Standards of Treatment</w:t>
      </w:r>
      <w:r w:rsidR="00005859" w:rsidRPr="007D1AF2">
        <w:rPr>
          <w:rFonts w:ascii="Times New Roman" w:hAnsi="Times New Roman" w:cs="Times New Roman"/>
        </w:rPr>
        <w:t xml:space="preserve"> (Alphen aan den Rijn: Kluwer Law International, 2009), hlm. 245–270.</w:t>
      </w:r>
    </w:p>
  </w:footnote>
  <w:footnote w:id="18">
    <w:p w14:paraId="4DD7EC80" w14:textId="2B190434"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M. Sornarajah, </w:t>
      </w:r>
      <w:r w:rsidR="00005859" w:rsidRPr="007D1AF2">
        <w:rPr>
          <w:rFonts w:ascii="Times New Roman" w:hAnsi="Times New Roman" w:cs="Times New Roman"/>
          <w:i/>
          <w:iCs/>
        </w:rPr>
        <w:t>The International Law on Foreign Investment</w:t>
      </w:r>
      <w:r w:rsidR="00005859" w:rsidRPr="007D1AF2">
        <w:rPr>
          <w:rFonts w:ascii="Times New Roman" w:hAnsi="Times New Roman" w:cs="Times New Roman"/>
        </w:rPr>
        <w:t xml:space="preserve">, 5th ed. (Cambridge: Cambridge University Press, 2021), </w:t>
      </w:r>
      <w:r w:rsidR="00005859" w:rsidRPr="007D1AF2">
        <w:rPr>
          <w:rFonts w:ascii="Times New Roman" w:hAnsi="Times New Roman" w:cs="Times New Roman"/>
        </w:rPr>
        <w:t>hlm. 332–349.</w:t>
      </w:r>
    </w:p>
  </w:footnote>
  <w:footnote w:id="19">
    <w:p w14:paraId="42B81017" w14:textId="4F4706E7"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Campbell McLachlan, Laurence Shore, dan Matthew Weiniger, </w:t>
      </w:r>
      <w:r w:rsidR="00005859" w:rsidRPr="007D1AF2">
        <w:rPr>
          <w:rFonts w:ascii="Times New Roman" w:hAnsi="Times New Roman" w:cs="Times New Roman"/>
          <w:i/>
          <w:iCs/>
        </w:rPr>
        <w:t>International Investment Arbitration: Substantive Principles</w:t>
      </w:r>
      <w:r w:rsidR="00005859" w:rsidRPr="007D1AF2">
        <w:rPr>
          <w:rFonts w:ascii="Times New Roman" w:hAnsi="Times New Roman" w:cs="Times New Roman"/>
        </w:rPr>
        <w:t xml:space="preserve">, 3rd ed. (Oxford: Oxford University Press, 2024), </w:t>
      </w:r>
      <w:r w:rsidR="00005859" w:rsidRPr="007D1AF2">
        <w:rPr>
          <w:rFonts w:ascii="Times New Roman" w:hAnsi="Times New Roman" w:cs="Times New Roman"/>
        </w:rPr>
        <w:t>hlm. 315–340</w:t>
      </w:r>
    </w:p>
  </w:footnote>
  <w:footnote w:id="20">
    <w:p w14:paraId="19375D15" w14:textId="66D655CF"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Rudolf Dolzer, Ursula Kriebaum, dan Christoph Schreuer, </w:t>
      </w:r>
      <w:r w:rsidR="00005859" w:rsidRPr="007D1AF2">
        <w:rPr>
          <w:rFonts w:ascii="Times New Roman" w:hAnsi="Times New Roman" w:cs="Times New Roman"/>
          <w:i/>
          <w:iCs/>
        </w:rPr>
        <w:t>Principles of International Investment Law</w:t>
      </w:r>
      <w:r w:rsidR="00005859" w:rsidRPr="007D1AF2">
        <w:rPr>
          <w:rFonts w:ascii="Times New Roman" w:hAnsi="Times New Roman" w:cs="Times New Roman"/>
        </w:rPr>
        <w:t xml:space="preserve">, 3rd ed. (Oxford: Oxford University Press, 2022), </w:t>
      </w:r>
      <w:r w:rsidR="00005859" w:rsidRPr="007D1AF2">
        <w:rPr>
          <w:rFonts w:ascii="Times New Roman" w:hAnsi="Times New Roman" w:cs="Times New Roman"/>
        </w:rPr>
        <w:t>hlm. 167–182.</w:t>
      </w:r>
    </w:p>
  </w:footnote>
  <w:footnote w:id="21">
    <w:p w14:paraId="3994DA49" w14:textId="769BA40A"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Jeswald W. </w:t>
      </w:r>
      <w:r w:rsidR="00005859" w:rsidRPr="007D1AF2">
        <w:rPr>
          <w:rFonts w:ascii="Times New Roman" w:hAnsi="Times New Roman" w:cs="Times New Roman"/>
        </w:rPr>
        <w:t xml:space="preserve">Salacuse, </w:t>
      </w:r>
      <w:r w:rsidR="00005859" w:rsidRPr="007D1AF2">
        <w:rPr>
          <w:rFonts w:ascii="Times New Roman" w:hAnsi="Times New Roman" w:cs="Times New Roman"/>
          <w:i/>
          <w:iCs/>
        </w:rPr>
        <w:t>The Law of Investment Treaties</w:t>
      </w:r>
      <w:r w:rsidR="00005859" w:rsidRPr="007D1AF2">
        <w:rPr>
          <w:rFonts w:ascii="Times New Roman" w:hAnsi="Times New Roman" w:cs="Times New Roman"/>
        </w:rPr>
        <w:t>, 3rd ed. (Oxford: Oxford University Press, 2021), hlm. 230–258.</w:t>
      </w:r>
    </w:p>
  </w:footnote>
  <w:footnote w:id="22">
    <w:p w14:paraId="782699E0" w14:textId="6CEB7231" w:rsidR="00E70890" w:rsidRPr="00E70890" w:rsidRDefault="00E70890">
      <w:pPr>
        <w:pStyle w:val="FootnoteText"/>
        <w:rPr>
          <w:lang w:val="en-GB"/>
        </w:rPr>
      </w:pPr>
      <w:r>
        <w:rPr>
          <w:rStyle w:val="FootnoteReference"/>
        </w:rPr>
        <w:footnoteRef/>
      </w:r>
      <w:r>
        <w:t xml:space="preserve"> </w:t>
      </w:r>
      <w:r w:rsidR="00005859" w:rsidRPr="007D1AF2">
        <w:rPr>
          <w:rFonts w:ascii="Times New Roman" w:hAnsi="Times New Roman" w:cs="Times New Roman"/>
        </w:rPr>
        <w:t xml:space="preserve">Andrew Newcombe dan </w:t>
      </w:r>
      <w:r w:rsidR="00005859" w:rsidRPr="007D1AF2">
        <w:rPr>
          <w:rFonts w:ascii="Times New Roman" w:hAnsi="Times New Roman" w:cs="Times New Roman"/>
        </w:rPr>
        <w:t xml:space="preserve">Lluís Paradell, </w:t>
      </w:r>
      <w:r w:rsidR="00005859" w:rsidRPr="007D1AF2">
        <w:rPr>
          <w:rFonts w:ascii="Times New Roman" w:hAnsi="Times New Roman" w:cs="Times New Roman"/>
          <w:i/>
          <w:iCs/>
        </w:rPr>
        <w:t>Law and Practice of Investment Treaties: Standards of Treatment</w:t>
      </w:r>
      <w:r w:rsidR="00005859" w:rsidRPr="007D1AF2">
        <w:rPr>
          <w:rFonts w:ascii="Times New Roman" w:hAnsi="Times New Roman" w:cs="Times New Roman"/>
        </w:rPr>
        <w:t xml:space="preserve"> (Alphen aan den Rijn: Kluwer Law International, 2009), hlm. 341–386</w:t>
      </w:r>
    </w:p>
  </w:footnote>
  <w:footnote w:id="23">
    <w:p w14:paraId="0479691F" w14:textId="394F0C5B" w:rsidR="00E70890" w:rsidRPr="00E70890" w:rsidRDefault="00E70890">
      <w:pPr>
        <w:pStyle w:val="FootnoteText"/>
        <w:rPr>
          <w:lang w:val="en-GB"/>
        </w:rPr>
      </w:pPr>
      <w:r>
        <w:rPr>
          <w:rStyle w:val="FootnoteReference"/>
        </w:rPr>
        <w:footnoteRef/>
      </w:r>
      <w:r>
        <w:t xml:space="preserve"> </w:t>
      </w:r>
      <w:r w:rsidR="001745B6" w:rsidRPr="007D1AF2">
        <w:rPr>
          <w:rFonts w:ascii="Times New Roman" w:hAnsi="Times New Roman" w:cs="Times New Roman"/>
        </w:rPr>
        <w:t xml:space="preserve">M. Sornarajah, </w:t>
      </w:r>
      <w:r w:rsidR="001745B6" w:rsidRPr="007D1AF2">
        <w:rPr>
          <w:rFonts w:ascii="Times New Roman" w:hAnsi="Times New Roman" w:cs="Times New Roman"/>
          <w:i/>
          <w:iCs/>
        </w:rPr>
        <w:t>The International Law on Foreign Investment</w:t>
      </w:r>
      <w:r w:rsidR="001745B6" w:rsidRPr="007D1AF2">
        <w:rPr>
          <w:rFonts w:ascii="Times New Roman" w:hAnsi="Times New Roman" w:cs="Times New Roman"/>
        </w:rPr>
        <w:t xml:space="preserve">, 5th ed. (Cambridge: Cambridge University Press, 2021), </w:t>
      </w:r>
      <w:r w:rsidR="001745B6" w:rsidRPr="007D1AF2">
        <w:rPr>
          <w:rFonts w:ascii="Times New Roman" w:hAnsi="Times New Roman" w:cs="Times New Roman"/>
        </w:rPr>
        <w:t>hlm. 390–421.</w:t>
      </w:r>
    </w:p>
  </w:footnote>
  <w:footnote w:id="24">
    <w:p w14:paraId="35C703C5" w14:textId="615DC4CB" w:rsidR="00005859" w:rsidRPr="00005859" w:rsidRDefault="00005859">
      <w:pPr>
        <w:pStyle w:val="FootnoteText"/>
        <w:rPr>
          <w:lang w:val="en-GB"/>
        </w:rPr>
      </w:pPr>
      <w:r>
        <w:rPr>
          <w:rStyle w:val="FootnoteReference"/>
        </w:rPr>
        <w:footnoteRef/>
      </w:r>
      <w:r>
        <w:t xml:space="preserve"> </w:t>
      </w:r>
      <w:r w:rsidR="001745B6" w:rsidRPr="007D1AF2">
        <w:rPr>
          <w:rFonts w:ascii="Times New Roman" w:hAnsi="Times New Roman" w:cs="Times New Roman"/>
        </w:rPr>
        <w:t xml:space="preserve">Stephan W. Schill (ed.), </w:t>
      </w:r>
      <w:r w:rsidR="001745B6" w:rsidRPr="007D1AF2">
        <w:rPr>
          <w:rFonts w:ascii="Times New Roman" w:hAnsi="Times New Roman" w:cs="Times New Roman"/>
          <w:i/>
          <w:iCs/>
        </w:rPr>
        <w:t>International Investment Law and Comparative Public Law</w:t>
      </w:r>
      <w:r w:rsidR="001745B6" w:rsidRPr="007D1AF2">
        <w:rPr>
          <w:rFonts w:ascii="Times New Roman" w:hAnsi="Times New Roman" w:cs="Times New Roman"/>
        </w:rPr>
        <w:t xml:space="preserve"> (Oxford: Oxford University Press, 2010), </w:t>
      </w:r>
      <w:r w:rsidR="001745B6" w:rsidRPr="007D1AF2">
        <w:rPr>
          <w:rFonts w:ascii="Times New Roman" w:hAnsi="Times New Roman" w:cs="Times New Roman"/>
        </w:rPr>
        <w:t>hlm. 611–640.</w:t>
      </w:r>
    </w:p>
  </w:footnote>
  <w:footnote w:id="25">
    <w:p w14:paraId="4AE2C7D5" w14:textId="0EA04C12" w:rsidR="00005859" w:rsidRPr="00005859" w:rsidRDefault="00005859">
      <w:pPr>
        <w:pStyle w:val="FootnoteText"/>
        <w:rPr>
          <w:lang w:val="en-GB"/>
        </w:rPr>
      </w:pPr>
      <w:r>
        <w:rPr>
          <w:rStyle w:val="FootnoteReference"/>
        </w:rPr>
        <w:footnoteRef/>
      </w:r>
      <w:r>
        <w:t xml:space="preserve"> </w:t>
      </w:r>
      <w:r w:rsidR="001745B6" w:rsidRPr="007D1AF2">
        <w:rPr>
          <w:rFonts w:ascii="Times New Roman" w:hAnsi="Times New Roman" w:cs="Times New Roman"/>
        </w:rPr>
        <w:t xml:space="preserve">Malcolm N. Shaw, </w:t>
      </w:r>
      <w:r w:rsidR="001745B6" w:rsidRPr="007D1AF2">
        <w:rPr>
          <w:rFonts w:ascii="Times New Roman" w:hAnsi="Times New Roman" w:cs="Times New Roman"/>
          <w:i/>
          <w:iCs/>
        </w:rPr>
        <w:t>International Law</w:t>
      </w:r>
      <w:r w:rsidR="001745B6" w:rsidRPr="007D1AF2">
        <w:rPr>
          <w:rFonts w:ascii="Times New Roman" w:hAnsi="Times New Roman" w:cs="Times New Roman"/>
        </w:rPr>
        <w:t xml:space="preserve">, 9th ed. (Cambridge: Cambridge University Press, 2021), </w:t>
      </w:r>
      <w:r w:rsidR="001745B6" w:rsidRPr="007D1AF2">
        <w:rPr>
          <w:rFonts w:ascii="Times New Roman" w:hAnsi="Times New Roman" w:cs="Times New Roman"/>
        </w:rPr>
        <w:t>hlm. 445–470.</w:t>
      </w:r>
    </w:p>
  </w:footnote>
  <w:footnote w:id="26">
    <w:p w14:paraId="68B07A63" w14:textId="77777777" w:rsidR="002B14D1" w:rsidRPr="00005859" w:rsidRDefault="002B14D1" w:rsidP="002B14D1">
      <w:pPr>
        <w:pStyle w:val="FootnoteText"/>
        <w:rPr>
          <w:lang w:val="en-GB"/>
        </w:rPr>
      </w:pPr>
      <w:r>
        <w:rPr>
          <w:rStyle w:val="FootnoteReference"/>
        </w:rPr>
        <w:footnoteRef/>
      </w:r>
      <w:r>
        <w:t xml:space="preserve"> </w:t>
      </w:r>
      <w:r w:rsidRPr="007D1AF2">
        <w:rPr>
          <w:rFonts w:ascii="Times New Roman" w:hAnsi="Times New Roman" w:cs="Times New Roman"/>
        </w:rPr>
        <w:t xml:space="preserve">Malcolm N. Shaw, </w:t>
      </w:r>
      <w:r w:rsidRPr="007D1AF2">
        <w:rPr>
          <w:rFonts w:ascii="Times New Roman" w:hAnsi="Times New Roman" w:cs="Times New Roman"/>
          <w:i/>
          <w:iCs/>
        </w:rPr>
        <w:t>International Law</w:t>
      </w:r>
      <w:r w:rsidRPr="007D1AF2">
        <w:rPr>
          <w:rFonts w:ascii="Times New Roman" w:hAnsi="Times New Roman" w:cs="Times New Roman"/>
        </w:rPr>
        <w:t xml:space="preserve">, 9th ed. (Cambridge: Cambridge University Press, 2021), </w:t>
      </w:r>
      <w:r w:rsidRPr="007D1AF2">
        <w:rPr>
          <w:rFonts w:ascii="Times New Roman" w:hAnsi="Times New Roman" w:cs="Times New Roman"/>
        </w:rPr>
        <w:t>hlm. 445–470.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A112" w14:textId="77777777" w:rsidR="00B92BA9" w:rsidRDefault="001F3EA8">
    <w:pPr>
      <w:pBdr>
        <w:top w:val="nil"/>
        <w:left w:val="nil"/>
        <w:bottom w:val="nil"/>
        <w:right w:val="nil"/>
        <w:between w:val="nil"/>
      </w:pBdr>
      <w:tabs>
        <w:tab w:val="center" w:pos="4680"/>
        <w:tab w:val="right" w:pos="9360"/>
        <w:tab w:val="left" w:pos="1985"/>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19F57D7E" wp14:editId="79DC007E">
              <wp:simplePos x="0" y="0"/>
              <wp:positionH relativeFrom="column">
                <wp:posOffset>1079500</wp:posOffset>
              </wp:positionH>
              <wp:positionV relativeFrom="paragraph">
                <wp:posOffset>-444499</wp:posOffset>
              </wp:positionV>
              <wp:extent cx="3335020" cy="1399540"/>
              <wp:effectExtent l="0" t="0" r="0" b="0"/>
              <wp:wrapNone/>
              <wp:docPr id="1576654507" name="Rectangle 1576654507"/>
              <wp:cNvGraphicFramePr/>
              <a:graphic xmlns:a="http://schemas.openxmlformats.org/drawingml/2006/main">
                <a:graphicData uri="http://schemas.microsoft.com/office/word/2010/wordprocessingShape">
                  <wps:wsp>
                    <wps:cNvSpPr/>
                    <wps:spPr>
                      <a:xfrm>
                        <a:off x="3683253" y="3084993"/>
                        <a:ext cx="3325495" cy="13900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8282DC" w14:textId="77777777" w:rsidR="00B92BA9" w:rsidRDefault="001F3EA8">
                          <w:pPr>
                            <w:spacing w:before="240" w:after="240" w:line="275" w:lineRule="auto"/>
                            <w:textDirection w:val="btLr"/>
                          </w:pPr>
                          <w:r>
                            <w:rPr>
                              <w:rFonts w:ascii="Arial" w:eastAsia="Arial" w:hAnsi="Arial" w:cs="Arial"/>
                              <w:b/>
                              <w:color w:val="000000"/>
                              <w:sz w:val="44"/>
                            </w:rPr>
                            <w:t>IPSO JURE</w:t>
                          </w:r>
                        </w:p>
                        <w:p w14:paraId="37E31C05" w14:textId="77777777" w:rsidR="00B92BA9" w:rsidRDefault="001F3EA8" w:rsidP="00735EC0">
                          <w:pPr>
                            <w:spacing w:after="240" w:line="275" w:lineRule="auto"/>
                            <w:textDirection w:val="btLr"/>
                          </w:pPr>
                          <w:r>
                            <w:rPr>
                              <w:rFonts w:ascii="Arial" w:eastAsia="Arial" w:hAnsi="Arial" w:cs="Arial"/>
                              <w:color w:val="000000"/>
                              <w:sz w:val="20"/>
                            </w:rPr>
                            <w:t>Journal</w:t>
                          </w:r>
                        </w:p>
                        <w:p w14:paraId="4D9BE914" w14:textId="77777777" w:rsidR="00735EC0" w:rsidRDefault="00735EC0" w:rsidP="00735EC0">
                          <w:pPr>
                            <w:spacing w:after="0" w:line="240" w:lineRule="auto"/>
                            <w:textDirection w:val="btLr"/>
                            <w:rPr>
                              <w:rFonts w:ascii="Arial" w:eastAsia="Arial" w:hAnsi="Arial" w:cs="Arial"/>
                              <w:color w:val="000000"/>
                              <w:sz w:val="20"/>
                            </w:rPr>
                          </w:pPr>
                          <w:r w:rsidRPr="004B617E">
                            <w:rPr>
                              <w:rFonts w:ascii="Arial" w:eastAsia="Arial" w:hAnsi="Arial" w:cs="Arial"/>
                              <w:color w:val="000000"/>
                              <w:sz w:val="20"/>
                            </w:rPr>
                            <w:t>Vol. 3. No. 7, August2026</w:t>
                          </w:r>
                          <w:r>
                            <w:rPr>
                              <w:rFonts w:ascii="Arial" w:eastAsia="Arial" w:hAnsi="Arial" w:cs="Arial"/>
                              <w:color w:val="000000"/>
                              <w:sz w:val="20"/>
                            </w:rPr>
                            <w:t xml:space="preserve">  </w:t>
                          </w:r>
                        </w:p>
                        <w:p w14:paraId="7017ABB5" w14:textId="72D1D32E" w:rsidR="00735EC0" w:rsidRDefault="00735EC0" w:rsidP="00735EC0">
                          <w:pPr>
                            <w:spacing w:after="0" w:line="240" w:lineRule="auto"/>
                            <w:textDirection w:val="btLr"/>
                            <w:rPr>
                              <w:rFonts w:ascii="Arial" w:eastAsia="Arial" w:hAnsi="Arial" w:cs="Arial"/>
                              <w:color w:val="000000"/>
                              <w:sz w:val="20"/>
                            </w:rPr>
                          </w:pPr>
                          <w:r>
                            <w:rPr>
                              <w:rFonts w:ascii="Arial" w:eastAsia="Arial" w:hAnsi="Arial" w:cs="Arial"/>
                              <w:color w:val="000000"/>
                              <w:sz w:val="20"/>
                            </w:rPr>
                            <w:t xml:space="preserve">DOI </w:t>
                          </w:r>
                          <w:proofErr w:type="gramStart"/>
                          <w:r>
                            <w:rPr>
                              <w:rFonts w:ascii="Arial" w:eastAsia="Arial" w:hAnsi="Arial" w:cs="Arial"/>
                              <w:color w:val="000000"/>
                              <w:sz w:val="20"/>
                            </w:rPr>
                            <w:t>Number :</w:t>
                          </w:r>
                          <w:proofErr w:type="gramEnd"/>
                          <w:r>
                            <w:rPr>
                              <w:rFonts w:ascii="Arial" w:eastAsia="Arial" w:hAnsi="Arial" w:cs="Arial"/>
                              <w:color w:val="000000"/>
                              <w:sz w:val="20"/>
                            </w:rPr>
                            <w:t xml:space="preserve"> </w:t>
                          </w:r>
                          <w:hyperlink r:id="rId1" w:history="1">
                            <w:r w:rsidRPr="00AB34E4">
                              <w:rPr>
                                <w:rStyle w:val="Hyperlink"/>
                                <w:rFonts w:ascii="Arial" w:eastAsia="Arial" w:hAnsi="Arial" w:cs="Arial"/>
                                <w:sz w:val="20"/>
                              </w:rPr>
                              <w:t>https://doi.org/</w:t>
                            </w:r>
                          </w:hyperlink>
                        </w:p>
                        <w:p w14:paraId="2FD7F9EB" w14:textId="6081D6BB" w:rsidR="00735EC0" w:rsidRDefault="00735EC0" w:rsidP="00735EC0">
                          <w:pPr>
                            <w:spacing w:after="0" w:line="240" w:lineRule="auto"/>
                            <w:textDirection w:val="btLr"/>
                            <w:rPr>
                              <w:rFonts w:ascii="Arial" w:eastAsia="Arial" w:hAnsi="Arial" w:cs="Arial"/>
                              <w:color w:val="000000"/>
                              <w:sz w:val="20"/>
                            </w:rPr>
                          </w:pPr>
                          <w:r>
                            <w:rPr>
                              <w:rFonts w:ascii="Arial" w:eastAsia="Arial" w:hAnsi="Arial" w:cs="Arial"/>
                              <w:color w:val="000000"/>
                              <w:sz w:val="20"/>
                            </w:rPr>
                            <w:t xml:space="preserve"> </w:t>
                          </w:r>
                        </w:p>
                        <w:p w14:paraId="1EB6CD73" w14:textId="0B9B7295" w:rsidR="00B92BA9" w:rsidRDefault="00735EC0" w:rsidP="00735EC0">
                          <w:pPr>
                            <w:spacing w:before="240" w:after="240" w:line="275" w:lineRule="auto"/>
                            <w:textDirection w:val="btLr"/>
                          </w:pPr>
                          <w:r>
                            <w:rPr>
                              <w:rFonts w:ascii="Arial" w:eastAsia="Arial" w:hAnsi="Arial" w:cs="Arial"/>
                              <w:color w:val="000000"/>
                              <w:sz w:val="20"/>
                            </w:rPr>
                            <w:t>DOI Number</w:t>
                          </w:r>
                          <w:r w:rsidR="001F3EA8">
                            <w:rPr>
                              <w:rFonts w:ascii="Arial" w:eastAsia="Arial" w:hAnsi="Arial" w:cs="Arial"/>
                              <w:color w:val="000000"/>
                              <w:sz w:val="20"/>
                            </w:rPr>
                            <w:t xml:space="preserve">            </w:t>
                          </w:r>
                        </w:p>
                        <w:p w14:paraId="65F48240" w14:textId="77777777" w:rsidR="00B92BA9" w:rsidRDefault="00B92BA9">
                          <w:pPr>
                            <w:spacing w:after="0" w:line="258" w:lineRule="auto"/>
                            <w:textDirection w:val="btLr"/>
                          </w:pPr>
                        </w:p>
                        <w:p w14:paraId="7035CA68" w14:textId="77777777" w:rsidR="00B92BA9" w:rsidRDefault="00B92BA9">
                          <w:pPr>
                            <w:spacing w:after="0" w:line="258" w:lineRule="auto"/>
                            <w:textDirection w:val="btLr"/>
                          </w:pPr>
                        </w:p>
                        <w:p w14:paraId="5AA2ECF8" w14:textId="77777777" w:rsidR="00B92BA9" w:rsidRDefault="00B92BA9">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9F57D7E" id="Rectangle 1576654507" o:spid="_x0000_s1026" style="position:absolute;margin-left:85pt;margin-top:-35pt;width:262.6pt;height:110.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">
              <v:stroke startarrowwidth="narrow" startarrowlength="short" endarrowwidth="narrow" endarrowlength="short"/>
              <v:textbox inset="2.53958mm,1.2694mm,2.53958mm,1.2694mm">
                <w:txbxContent>
                  <w:p w14:paraId="668282DC" w14:textId="77777777" w:rsidR="00B92BA9" w:rsidRDefault="001F3EA8">
                    <w:pPr>
                      <w:spacing w:before="240" w:after="240" w:line="275" w:lineRule="auto"/>
                      <w:textDirection w:val="btLr"/>
                    </w:pPr>
                    <w:r>
                      <w:rPr>
                        <w:rFonts w:ascii="Arial" w:eastAsia="Arial" w:hAnsi="Arial" w:cs="Arial"/>
                        <w:b/>
                        <w:color w:val="000000"/>
                        <w:sz w:val="44"/>
                      </w:rPr>
                      <w:t>IPSO JURE</w:t>
                    </w:r>
                  </w:p>
                  <w:p w14:paraId="37E31C05" w14:textId="77777777" w:rsidR="00B92BA9" w:rsidRDefault="001F3EA8" w:rsidP="00735EC0">
                    <w:pPr>
                      <w:spacing w:after="240" w:line="275" w:lineRule="auto"/>
                      <w:textDirection w:val="btLr"/>
                    </w:pPr>
                    <w:r>
                      <w:rPr>
                        <w:rFonts w:ascii="Arial" w:eastAsia="Arial" w:hAnsi="Arial" w:cs="Arial"/>
                        <w:color w:val="000000"/>
                        <w:sz w:val="20"/>
                      </w:rPr>
                      <w:t>Journal</w:t>
                    </w:r>
                  </w:p>
                  <w:p w14:paraId="4D9BE914" w14:textId="77777777" w:rsidR="00735EC0" w:rsidRDefault="00735EC0" w:rsidP="00735EC0">
                    <w:pPr>
                      <w:spacing w:after="0" w:line="240" w:lineRule="auto"/>
                      <w:textDirection w:val="btLr"/>
                      <w:rPr>
                        <w:rFonts w:ascii="Arial" w:eastAsia="Arial" w:hAnsi="Arial" w:cs="Arial"/>
                        <w:color w:val="000000"/>
                        <w:sz w:val="20"/>
                      </w:rPr>
                    </w:pPr>
                    <w:r w:rsidRPr="004B617E">
                      <w:rPr>
                        <w:rFonts w:ascii="Arial" w:eastAsia="Arial" w:hAnsi="Arial" w:cs="Arial"/>
                        <w:color w:val="000000"/>
                        <w:sz w:val="20"/>
                      </w:rPr>
                      <w:t>Vol. 3. No. 7, August2026</w:t>
                    </w:r>
                    <w:r>
                      <w:rPr>
                        <w:rFonts w:ascii="Arial" w:eastAsia="Arial" w:hAnsi="Arial" w:cs="Arial"/>
                        <w:color w:val="000000"/>
                        <w:sz w:val="20"/>
                      </w:rPr>
                      <w:t xml:space="preserve">  </w:t>
                    </w:r>
                  </w:p>
                  <w:p w14:paraId="7017ABB5" w14:textId="72D1D32E" w:rsidR="00735EC0" w:rsidRDefault="00735EC0" w:rsidP="00735EC0">
                    <w:pPr>
                      <w:spacing w:after="0" w:line="240" w:lineRule="auto"/>
                      <w:textDirection w:val="btLr"/>
                      <w:rPr>
                        <w:rFonts w:ascii="Arial" w:eastAsia="Arial" w:hAnsi="Arial" w:cs="Arial"/>
                        <w:color w:val="000000"/>
                        <w:sz w:val="20"/>
                      </w:rPr>
                    </w:pPr>
                    <w:r>
                      <w:rPr>
                        <w:rFonts w:ascii="Arial" w:eastAsia="Arial" w:hAnsi="Arial" w:cs="Arial"/>
                        <w:color w:val="000000"/>
                        <w:sz w:val="20"/>
                      </w:rPr>
                      <w:t xml:space="preserve">DOI </w:t>
                    </w:r>
                    <w:proofErr w:type="gramStart"/>
                    <w:r>
                      <w:rPr>
                        <w:rFonts w:ascii="Arial" w:eastAsia="Arial" w:hAnsi="Arial" w:cs="Arial"/>
                        <w:color w:val="000000"/>
                        <w:sz w:val="20"/>
                      </w:rPr>
                      <w:t>Number :</w:t>
                    </w:r>
                    <w:proofErr w:type="gramEnd"/>
                    <w:r>
                      <w:rPr>
                        <w:rFonts w:ascii="Arial" w:eastAsia="Arial" w:hAnsi="Arial" w:cs="Arial"/>
                        <w:color w:val="000000"/>
                        <w:sz w:val="20"/>
                      </w:rPr>
                      <w:t xml:space="preserve"> </w:t>
                    </w:r>
                    <w:hyperlink r:id="rId2" w:history="1">
                      <w:r w:rsidRPr="00AB34E4">
                        <w:rPr>
                          <w:rStyle w:val="Hyperlink"/>
                          <w:rFonts w:ascii="Arial" w:eastAsia="Arial" w:hAnsi="Arial" w:cs="Arial"/>
                          <w:sz w:val="20"/>
                        </w:rPr>
                        <w:t>https://doi.org/</w:t>
                      </w:r>
                    </w:hyperlink>
                  </w:p>
                  <w:p w14:paraId="2FD7F9EB" w14:textId="6081D6BB" w:rsidR="00735EC0" w:rsidRDefault="00735EC0" w:rsidP="00735EC0">
                    <w:pPr>
                      <w:spacing w:after="0" w:line="240" w:lineRule="auto"/>
                      <w:textDirection w:val="btLr"/>
                      <w:rPr>
                        <w:rFonts w:ascii="Arial" w:eastAsia="Arial" w:hAnsi="Arial" w:cs="Arial"/>
                        <w:color w:val="000000"/>
                        <w:sz w:val="20"/>
                      </w:rPr>
                    </w:pPr>
                    <w:r>
                      <w:rPr>
                        <w:rFonts w:ascii="Arial" w:eastAsia="Arial" w:hAnsi="Arial" w:cs="Arial"/>
                        <w:color w:val="000000"/>
                        <w:sz w:val="20"/>
                      </w:rPr>
                      <w:t xml:space="preserve"> </w:t>
                    </w:r>
                  </w:p>
                  <w:p w14:paraId="1EB6CD73" w14:textId="0B9B7295" w:rsidR="00B92BA9" w:rsidRDefault="00735EC0" w:rsidP="00735EC0">
                    <w:pPr>
                      <w:spacing w:before="240" w:after="240" w:line="275" w:lineRule="auto"/>
                      <w:textDirection w:val="btLr"/>
                    </w:pPr>
                    <w:r>
                      <w:rPr>
                        <w:rFonts w:ascii="Arial" w:eastAsia="Arial" w:hAnsi="Arial" w:cs="Arial"/>
                        <w:color w:val="000000"/>
                        <w:sz w:val="20"/>
                      </w:rPr>
                      <w:t>DOI Number</w:t>
                    </w:r>
                    <w:r w:rsidR="001F3EA8">
                      <w:rPr>
                        <w:rFonts w:ascii="Arial" w:eastAsia="Arial" w:hAnsi="Arial" w:cs="Arial"/>
                        <w:color w:val="000000"/>
                        <w:sz w:val="20"/>
                      </w:rPr>
                      <w:t xml:space="preserve">            </w:t>
                    </w:r>
                  </w:p>
                  <w:p w14:paraId="65F48240" w14:textId="77777777" w:rsidR="00B92BA9" w:rsidRDefault="00B92BA9">
                    <w:pPr>
                      <w:spacing w:after="0" w:line="258" w:lineRule="auto"/>
                      <w:textDirection w:val="btLr"/>
                    </w:pPr>
                  </w:p>
                  <w:p w14:paraId="7035CA68" w14:textId="77777777" w:rsidR="00B92BA9" w:rsidRDefault="00B92BA9">
                    <w:pPr>
                      <w:spacing w:after="0" w:line="258" w:lineRule="auto"/>
                      <w:textDirection w:val="btLr"/>
                    </w:pPr>
                  </w:p>
                  <w:p w14:paraId="5AA2ECF8" w14:textId="77777777" w:rsidR="00B92BA9" w:rsidRDefault="00B92BA9">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080BEB0C" wp14:editId="4C44D5D8">
              <wp:simplePos x="0" y="0"/>
              <wp:positionH relativeFrom="column">
                <wp:posOffset>3429000</wp:posOffset>
              </wp:positionH>
              <wp:positionV relativeFrom="paragraph">
                <wp:posOffset>-266699</wp:posOffset>
              </wp:positionV>
              <wp:extent cx="3757295" cy="803275"/>
              <wp:effectExtent l="0" t="0" r="0" b="0"/>
              <wp:wrapNone/>
              <wp:docPr id="1576654504" name="Rectangle 1576654504"/>
              <wp:cNvGraphicFramePr/>
              <a:graphic xmlns:a="http://schemas.openxmlformats.org/drawingml/2006/main">
                <a:graphicData uri="http://schemas.microsoft.com/office/word/2010/wordprocessingShape">
                  <wps:wsp>
                    <wps:cNvSpPr/>
                    <wps:spPr>
                      <a:xfrm>
                        <a:off x="3480053" y="3391063"/>
                        <a:ext cx="3731895" cy="777875"/>
                      </a:xfrm>
                      <a:prstGeom prst="rect">
                        <a:avLst/>
                      </a:prstGeom>
                      <a:solidFill>
                        <a:srgbClr val="C00000"/>
                      </a:solidFill>
                      <a:ln w="12700" cap="flat" cmpd="sng">
                        <a:solidFill>
                          <a:schemeClr val="accent1"/>
                        </a:solidFill>
                        <a:prstDash val="solid"/>
                        <a:miter lim="800000"/>
                        <a:headEnd type="none" w="sm" len="sm"/>
                        <a:tailEnd type="none" w="sm" len="sm"/>
                      </a:ln>
                      <a:effectLst>
                        <a:outerShdw dist="28398" dir="3806097" algn="ctr" rotWithShape="0">
                          <a:srgbClr val="244061"/>
                        </a:outerShdw>
                      </a:effectLst>
                    </wps:spPr>
                    <wps:txbx>
                      <w:txbxContent>
                        <w:p w14:paraId="6F737FCE" w14:textId="77777777" w:rsidR="00B92BA9" w:rsidRDefault="00B92BA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80BEB0C" id="Rectangle 1576654504" o:spid="_x0000_s1027" style="position:absolute;margin-left:270pt;margin-top:-21pt;width:295.85pt;height:6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" fillcolor="#c00000" strokecolor="#4472c4 [3204]" strokeweight="1pt">
              <v:stroke startarrowwidth="narrow" startarrowlength="short" endarrowwidth="narrow" endarrowlength="short"/>
              <v:shadow on="t" color="#244061" offset="1pt"/>
              <v:textbox inset="2.53958mm,2.53958mm,2.53958mm,2.53958mm">
                <w:txbxContent>
                  <w:p w14:paraId="6F737FCE" w14:textId="77777777" w:rsidR="00B92BA9" w:rsidRDefault="00B92BA9">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07CC98F0" wp14:editId="4F13DE04">
              <wp:simplePos x="0" y="0"/>
              <wp:positionH relativeFrom="column">
                <wp:posOffset>-1054099</wp:posOffset>
              </wp:positionH>
              <wp:positionV relativeFrom="paragraph">
                <wp:posOffset>-457199</wp:posOffset>
              </wp:positionV>
              <wp:extent cx="534670" cy="1409065"/>
              <wp:effectExtent l="0" t="0" r="0" b="0"/>
              <wp:wrapNone/>
              <wp:docPr id="1576654509" name="Rectangle 1576654509"/>
              <wp:cNvGraphicFramePr/>
              <a:graphic xmlns:a="http://schemas.openxmlformats.org/drawingml/2006/main">
                <a:graphicData uri="http://schemas.microsoft.com/office/word/2010/wordprocessingShape">
                  <wps:wsp>
                    <wps:cNvSpPr/>
                    <wps:spPr>
                      <a:xfrm>
                        <a:off x="5088190" y="3084993"/>
                        <a:ext cx="515620" cy="1390015"/>
                      </a:xfrm>
                      <a:prstGeom prst="rect">
                        <a:avLst/>
                      </a:prstGeom>
                      <a:solidFill>
                        <a:srgbClr val="C00000"/>
                      </a:solidFill>
                      <a:ln w="9525" cap="flat" cmpd="sng">
                        <a:solidFill>
                          <a:srgbClr val="000000"/>
                        </a:solidFill>
                        <a:prstDash val="solid"/>
                        <a:miter lim="800000"/>
                        <a:headEnd type="none" w="sm" len="sm"/>
                        <a:tailEnd type="none" w="sm" len="sm"/>
                      </a:ln>
                    </wps:spPr>
                    <wps:txbx>
                      <w:txbxContent>
                        <w:p w14:paraId="004B7C45" w14:textId="77777777" w:rsidR="00B92BA9" w:rsidRDefault="00B92BA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7CC98F0" id="Rectangle 1576654509" o:spid="_x0000_s1028" style="position:absolute;margin-left:-83pt;margin-top:-36pt;width:42.1pt;height:110.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" fillcolor="#c00000">
              <v:stroke startarrowwidth="narrow" startarrowlength="short" endarrowwidth="narrow" endarrowlength="short"/>
              <v:textbox inset="2.53958mm,2.53958mm,2.53958mm,2.53958mm">
                <w:txbxContent>
                  <w:p w14:paraId="004B7C45" w14:textId="77777777" w:rsidR="00B92BA9" w:rsidRDefault="00B92BA9">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48392D73" wp14:editId="54916121">
              <wp:simplePos x="0" y="0"/>
              <wp:positionH relativeFrom="column">
                <wp:posOffset>3429000</wp:posOffset>
              </wp:positionH>
              <wp:positionV relativeFrom="paragraph">
                <wp:posOffset>-266699</wp:posOffset>
              </wp:positionV>
              <wp:extent cx="3458845" cy="796925"/>
              <wp:effectExtent l="0" t="0" r="0" b="0"/>
              <wp:wrapNone/>
              <wp:docPr id="1576654508" name="Rectangle 1576654508"/>
              <wp:cNvGraphicFramePr/>
              <a:graphic xmlns:a="http://schemas.openxmlformats.org/drawingml/2006/main">
                <a:graphicData uri="http://schemas.microsoft.com/office/word/2010/wordprocessingShape">
                  <wps:wsp>
                    <wps:cNvSpPr/>
                    <wps:spPr>
                      <a:xfrm>
                        <a:off x="3626103" y="3391063"/>
                        <a:ext cx="3439795" cy="777875"/>
                      </a:xfrm>
                      <a:prstGeom prst="rect">
                        <a:avLst/>
                      </a:prstGeom>
                      <a:solidFill>
                        <a:srgbClr val="C00000"/>
                      </a:solidFill>
                      <a:ln w="9525" cap="flat" cmpd="sng">
                        <a:solidFill>
                          <a:srgbClr val="000000"/>
                        </a:solidFill>
                        <a:prstDash val="solid"/>
                        <a:miter lim="800000"/>
                        <a:headEnd type="none" w="sm" len="sm"/>
                        <a:tailEnd type="none" w="sm" len="sm"/>
                      </a:ln>
                    </wps:spPr>
                    <wps:txbx>
                      <w:txbxContent>
                        <w:p w14:paraId="5682130A" w14:textId="77777777" w:rsidR="00B92BA9" w:rsidRDefault="00B92BA9">
                          <w:pPr>
                            <w:spacing w:after="0" w:line="258" w:lineRule="auto"/>
                            <w:ind w:firstLine="720"/>
                            <w:textDirection w:val="btLr"/>
                          </w:pPr>
                        </w:p>
                        <w:p w14:paraId="57215C0B" w14:textId="77777777" w:rsidR="00B92BA9" w:rsidRDefault="001F3EA8">
                          <w:pPr>
                            <w:spacing w:after="0" w:line="258" w:lineRule="auto"/>
                            <w:textDirection w:val="btLr"/>
                          </w:pPr>
                          <w:r>
                            <w:rPr>
                              <w:rFonts w:ascii="Arial" w:eastAsia="Arial" w:hAnsi="Arial" w:cs="Arial"/>
                              <w:color w:val="000000"/>
                              <w:sz w:val="24"/>
                            </w:rPr>
                            <w:t>E-ISSN</w:t>
                          </w:r>
                          <w:r>
                            <w:rPr>
                              <w:rFonts w:ascii="Arial" w:eastAsia="Arial" w:hAnsi="Arial" w:cs="Arial"/>
                              <w:color w:val="000000"/>
                              <w:sz w:val="24"/>
                            </w:rPr>
                            <w:tab/>
                            <w:t>: 3032-7644</w:t>
                          </w:r>
                          <w:r>
                            <w:rPr>
                              <w:rFonts w:ascii="Arial" w:eastAsia="Arial" w:hAnsi="Arial" w:cs="Arial"/>
                              <w:color w:val="000000"/>
                              <w:sz w:val="24"/>
                            </w:rPr>
                            <w:tab/>
                          </w:r>
                        </w:p>
                        <w:p w14:paraId="35D5040A" w14:textId="77777777" w:rsidR="00B92BA9" w:rsidRDefault="001F3EA8">
                          <w:pPr>
                            <w:spacing w:after="0" w:line="258" w:lineRule="auto"/>
                            <w:textDirection w:val="btLr"/>
                          </w:pPr>
                          <w:r>
                            <w:rPr>
                              <w:rFonts w:ascii="Arial" w:eastAsia="Arial" w:hAnsi="Arial" w:cs="Arial"/>
                              <w:color w:val="FFFFFF"/>
                              <w:sz w:val="24"/>
                            </w:rPr>
                            <w:t>https://nawalaeducation.com/index.php/IJJ/</w:t>
                          </w:r>
                        </w:p>
                        <w:p w14:paraId="4808B8A4" w14:textId="77777777" w:rsidR="00B92BA9" w:rsidRDefault="00B92BA9">
                          <w:pPr>
                            <w:spacing w:after="0" w:line="258" w:lineRule="auto"/>
                            <w:textDirection w:val="btLr"/>
                          </w:pPr>
                        </w:p>
                        <w:p w14:paraId="11A05096" w14:textId="77777777" w:rsidR="00B92BA9" w:rsidRDefault="00B92BA9">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8392D73" id="Rectangle 1576654508" o:spid="_x0000_s1029" style="position:absolute;margin-left:270pt;margin-top:-21pt;width:272.35pt;height:62.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" fillcolor="#c00000">
              <v:stroke startarrowwidth="narrow" startarrowlength="short" endarrowwidth="narrow" endarrowlength="short"/>
              <v:textbox inset="2.53958mm,1.2694mm,2.53958mm,1.2694mm">
                <w:txbxContent>
                  <w:p w14:paraId="5682130A" w14:textId="77777777" w:rsidR="00B92BA9" w:rsidRDefault="00B92BA9">
                    <w:pPr>
                      <w:spacing w:after="0" w:line="258" w:lineRule="auto"/>
                      <w:ind w:firstLine="720"/>
                      <w:textDirection w:val="btLr"/>
                    </w:pPr>
                  </w:p>
                  <w:p w14:paraId="57215C0B" w14:textId="77777777" w:rsidR="00B92BA9" w:rsidRDefault="001F3EA8">
                    <w:pPr>
                      <w:spacing w:after="0" w:line="258" w:lineRule="auto"/>
                      <w:textDirection w:val="btLr"/>
                    </w:pPr>
                    <w:r>
                      <w:rPr>
                        <w:rFonts w:ascii="Arial" w:eastAsia="Arial" w:hAnsi="Arial" w:cs="Arial"/>
                        <w:color w:val="000000"/>
                        <w:sz w:val="24"/>
                      </w:rPr>
                      <w:t>E-ISSN</w:t>
                    </w:r>
                    <w:r>
                      <w:rPr>
                        <w:rFonts w:ascii="Arial" w:eastAsia="Arial" w:hAnsi="Arial" w:cs="Arial"/>
                        <w:color w:val="000000"/>
                        <w:sz w:val="24"/>
                      </w:rPr>
                      <w:tab/>
                      <w:t>: 3032-7644</w:t>
                    </w:r>
                    <w:r>
                      <w:rPr>
                        <w:rFonts w:ascii="Arial" w:eastAsia="Arial" w:hAnsi="Arial" w:cs="Arial"/>
                        <w:color w:val="000000"/>
                        <w:sz w:val="24"/>
                      </w:rPr>
                      <w:tab/>
                    </w:r>
                  </w:p>
                  <w:p w14:paraId="35D5040A" w14:textId="77777777" w:rsidR="00B92BA9" w:rsidRDefault="001F3EA8">
                    <w:pPr>
                      <w:spacing w:after="0" w:line="258" w:lineRule="auto"/>
                      <w:textDirection w:val="btLr"/>
                    </w:pPr>
                    <w:r>
                      <w:rPr>
                        <w:rFonts w:ascii="Arial" w:eastAsia="Arial" w:hAnsi="Arial" w:cs="Arial"/>
                        <w:color w:val="FFFFFF"/>
                        <w:sz w:val="24"/>
                      </w:rPr>
                      <w:t>https://nawalaeducation.com/index.php/IJJ/</w:t>
                    </w:r>
                  </w:p>
                  <w:p w14:paraId="4808B8A4" w14:textId="77777777" w:rsidR="00B92BA9" w:rsidRDefault="00B92BA9">
                    <w:pPr>
                      <w:spacing w:after="0" w:line="258" w:lineRule="auto"/>
                      <w:textDirection w:val="btLr"/>
                    </w:pPr>
                  </w:p>
                  <w:p w14:paraId="11A05096" w14:textId="77777777" w:rsidR="00B92BA9" w:rsidRDefault="00B92BA9">
                    <w:pPr>
                      <w:spacing w:line="258" w:lineRule="auto"/>
                      <w:textDirection w:val="btLr"/>
                    </w:pPr>
                  </w:p>
                </w:txbxContent>
              </v:textbox>
            </v:rect>
          </w:pict>
        </mc:Fallback>
      </mc:AlternateContent>
    </w:r>
    <w:r>
      <w:rPr>
        <w:noProof/>
      </w:rPr>
      <w:drawing>
        <wp:anchor distT="0" distB="0" distL="114300" distR="114300" simplePos="0" relativeHeight="251663360" behindDoc="0" locked="0" layoutInCell="1" hidden="0" allowOverlap="1" wp14:anchorId="68480C59" wp14:editId="2F0E989C">
          <wp:simplePos x="0" y="0"/>
          <wp:positionH relativeFrom="column">
            <wp:posOffset>-522603</wp:posOffset>
          </wp:positionH>
          <wp:positionV relativeFrom="paragraph">
            <wp:posOffset>-457197</wp:posOffset>
          </wp:positionV>
          <wp:extent cx="1609725" cy="1133475"/>
          <wp:effectExtent l="0" t="0" r="0" b="0"/>
          <wp:wrapTopAndBottom distT="0" distB="0"/>
          <wp:docPr id="1576654511" name="image2.png" descr="E:\ADMIN OF THE JOURNAL DWI\LOGO LOST\IPSO JURE JOURNAL.png"/>
          <wp:cNvGraphicFramePr/>
          <a:graphic xmlns:a="http://schemas.openxmlformats.org/drawingml/2006/main">
            <a:graphicData uri="http://schemas.openxmlformats.org/drawingml/2006/picture">
              <pic:pic xmlns:pic="http://schemas.openxmlformats.org/drawingml/2006/picture">
                <pic:nvPicPr>
                  <pic:cNvPr id="0" name="image2.png" descr="E:\ADMIN JURNAL DWI\LOGO NAWALA\IPSO JURE JOURNAL.png"/>
                  <pic:cNvPicPr preferRelativeResize="0"/>
                </pic:nvPicPr>
                <pic:blipFill>
                  <a:blip r:embed="rId3"/>
                  <a:srcRect l="20886" t="12902" r="16453" b="38294"/>
                  <a:stretch>
                    <a:fillRect/>
                  </a:stretch>
                </pic:blipFill>
                <pic:spPr>
                  <a:xfrm>
                    <a:off x="0" y="0"/>
                    <a:ext cx="1609725" cy="1133475"/>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5E017030" wp14:editId="7839C145">
              <wp:simplePos x="0" y="0"/>
              <wp:positionH relativeFrom="column">
                <wp:posOffset>-393699</wp:posOffset>
              </wp:positionH>
              <wp:positionV relativeFrom="paragraph">
                <wp:posOffset>723900</wp:posOffset>
              </wp:positionV>
              <wp:extent cx="0" cy="38100"/>
              <wp:effectExtent l="0" t="0" r="0" b="0"/>
              <wp:wrapNone/>
              <wp:docPr id="1576654505" name="Straight Arrow Connector 1576654505"/>
              <wp:cNvGraphicFramePr/>
              <a:graphic xmlns:a="http://schemas.openxmlformats.org/drawingml/2006/main">
                <a:graphicData uri="http://schemas.microsoft.com/office/word/2010/wordprocessingShape">
                  <wps:wsp>
                    <wps:cNvCnPr/>
                    <wps:spPr>
                      <a:xfrm>
                        <a:off x="1707018" y="3780000"/>
                        <a:ext cx="7277965" cy="0"/>
                      </a:xfrm>
                      <a:prstGeom prst="straightConnector1">
                        <a:avLst/>
                      </a:prstGeom>
                      <a:noFill/>
                      <a:ln w="38100" cap="flat" cmpd="sng">
                        <a:solidFill>
                          <a:srgbClr val="C00000"/>
                        </a:solidFill>
                        <a:prstDash val="solid"/>
                        <a:round/>
                        <a:headEnd type="none" w="sm" len="sm"/>
                        <a:tailEnd type="none" w="sm" len="sm"/>
                      </a:ln>
                    </wps:spPr>
                    <wps:bodyPr/>
                  </wps:wsp>
                </a:graphicData>
              </a:graphic>
            </wp:anchor>
          </w:drawing>
        </mc:Choice>
        <mc:Fallback xmlns:a="http://schemas.openxmlformats.org/drawingml/2006/main" xmlns:pic="http://schemas.openxmlformats.org/drawingml/2006/picture">
          <w:pict>
            <v:shapetype id="_x0000_t32" coordsize="21600,21600" o:oned="t" filled="f" o:spt="32" path="m,l21600,21600e" w14:anchorId="50628110">
              <v:path fillok="f" arrowok="t" o:connecttype="none"/>
              <o:lock v:ext="edit" shapetype="t"/>
            </v:shapetype>
            <v:shape id="Straight Arrow Connector 1576654505" style="position:absolute;margin-left:-31pt;margin-top:57pt;width:0;height:3pt;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">
              <v:stroke startarrowwidth="narrow" startarrowlength="short" endarrowwidth="narrow" endarrowlength="short"/>
            </v:shape>
          </w:pict>
        </mc:Fallback>
      </mc:AlternateContent>
    </w:r>
  </w:p>
  <w:p w14:paraId="16D50C4E" w14:textId="77777777" w:rsidR="00B92BA9" w:rsidRDefault="001F3EA8">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5408" behindDoc="0" locked="0" layoutInCell="1" hidden="0" allowOverlap="1" wp14:anchorId="5AB85A1E" wp14:editId="6D661A05">
              <wp:simplePos x="0" y="0"/>
              <wp:positionH relativeFrom="column">
                <wp:posOffset>-215899</wp:posOffset>
              </wp:positionH>
              <wp:positionV relativeFrom="paragraph">
                <wp:posOffset>165100</wp:posOffset>
              </wp:positionV>
              <wp:extent cx="0" cy="38100"/>
              <wp:effectExtent l="0" t="0" r="0" b="0"/>
              <wp:wrapNone/>
              <wp:docPr id="1576654506" name="Straight Arrow Connector 1576654506"/>
              <wp:cNvGraphicFramePr/>
              <a:graphic xmlns:a="http://schemas.openxmlformats.org/drawingml/2006/main">
                <a:graphicData uri="http://schemas.microsoft.com/office/word/2010/wordprocessingShape">
                  <wps:wsp>
                    <wps:cNvCnPr/>
                    <wps:spPr>
                      <a:xfrm>
                        <a:off x="1788413" y="3780000"/>
                        <a:ext cx="7115175" cy="0"/>
                      </a:xfrm>
                      <a:prstGeom prst="straightConnector1">
                        <a:avLst/>
                      </a:prstGeom>
                      <a:noFill/>
                      <a:ln w="38100" cap="flat" cmpd="sng">
                        <a:solidFill>
                          <a:srgbClr val="C00000"/>
                        </a:solidFill>
                        <a:prstDash val="solid"/>
                        <a:round/>
                        <a:headEnd type="none" w="sm" len="sm"/>
                        <a:tailEnd type="none" w="sm" len="sm"/>
                      </a:ln>
                    </wps:spPr>
                    <wps:bodyPr/>
                  </wps:wsp>
                </a:graphicData>
              </a:graphic>
            </wp:anchor>
          </w:drawing>
        </mc:Choice>
        <mc:Fallback xmlns:a="http://schemas.openxmlformats.org/drawingml/2006/main" xmlns:pic="http://schemas.openxmlformats.org/drawingml/2006/picture">
          <w:pict>
            <v:shape id="Straight Arrow Connector 1576654506" style="position:absolute;margin-left:-17pt;margin-top:13pt;width:0;height:3pt;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" w14:anchorId="5ECBAF7D">
              <v:stroke startarrowwidth="narrow" startarrowlength="short" endarrowwidth="narrow" endarrowlength="short"/>
            </v:shape>
          </w:pict>
        </mc:Fallback>
      </mc:AlternateContent>
    </w:r>
  </w:p>
  <w:p w14:paraId="0645BADF" w14:textId="77777777" w:rsidR="00B92BA9" w:rsidRDefault="00B92BA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A3874"/>
    <w:multiLevelType w:val="hybridMultilevel"/>
    <w:tmpl w:val="90DCBF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7965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93C"/>
    <w:rsid w:val="00005859"/>
    <w:rsid w:val="0009793C"/>
    <w:rsid w:val="000C50F2"/>
    <w:rsid w:val="000F40A2"/>
    <w:rsid w:val="001436D8"/>
    <w:rsid w:val="001554F4"/>
    <w:rsid w:val="001745B6"/>
    <w:rsid w:val="001A3952"/>
    <w:rsid w:val="001B64D5"/>
    <w:rsid w:val="001F23FB"/>
    <w:rsid w:val="001F3EA8"/>
    <w:rsid w:val="002047B0"/>
    <w:rsid w:val="00213FAF"/>
    <w:rsid w:val="00217120"/>
    <w:rsid w:val="002B14D1"/>
    <w:rsid w:val="002D63F8"/>
    <w:rsid w:val="002E68C0"/>
    <w:rsid w:val="0037051B"/>
    <w:rsid w:val="003B72F4"/>
    <w:rsid w:val="003F6372"/>
    <w:rsid w:val="00413915"/>
    <w:rsid w:val="00441B4D"/>
    <w:rsid w:val="00455C43"/>
    <w:rsid w:val="00495F16"/>
    <w:rsid w:val="004A2B68"/>
    <w:rsid w:val="005220E7"/>
    <w:rsid w:val="005742A4"/>
    <w:rsid w:val="005A60A4"/>
    <w:rsid w:val="005B33DF"/>
    <w:rsid w:val="00613CAB"/>
    <w:rsid w:val="00645D9D"/>
    <w:rsid w:val="006A4916"/>
    <w:rsid w:val="006C17E9"/>
    <w:rsid w:val="006E71E9"/>
    <w:rsid w:val="0071520D"/>
    <w:rsid w:val="00735EC0"/>
    <w:rsid w:val="00765FAD"/>
    <w:rsid w:val="007B1E30"/>
    <w:rsid w:val="007F08E6"/>
    <w:rsid w:val="00873B72"/>
    <w:rsid w:val="0098277B"/>
    <w:rsid w:val="009B65AC"/>
    <w:rsid w:val="00A55947"/>
    <w:rsid w:val="00A907D5"/>
    <w:rsid w:val="00A938B7"/>
    <w:rsid w:val="00A97B93"/>
    <w:rsid w:val="00AA57C7"/>
    <w:rsid w:val="00B1451C"/>
    <w:rsid w:val="00B2546F"/>
    <w:rsid w:val="00B32CB1"/>
    <w:rsid w:val="00B460D9"/>
    <w:rsid w:val="00B47431"/>
    <w:rsid w:val="00B8602F"/>
    <w:rsid w:val="00B92BA9"/>
    <w:rsid w:val="00BE2169"/>
    <w:rsid w:val="00C52803"/>
    <w:rsid w:val="00CE67B5"/>
    <w:rsid w:val="00CF6012"/>
    <w:rsid w:val="00D31D26"/>
    <w:rsid w:val="00D4584A"/>
    <w:rsid w:val="00D74B89"/>
    <w:rsid w:val="00DE264C"/>
    <w:rsid w:val="00E23A0E"/>
    <w:rsid w:val="00E427ED"/>
    <w:rsid w:val="00E46005"/>
    <w:rsid w:val="00E70890"/>
    <w:rsid w:val="00F469FB"/>
    <w:rsid w:val="00F4705C"/>
    <w:rsid w:val="00F76372"/>
    <w:rsid w:val="00FD0A3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86209"/>
  <w15:chartTrackingRefBased/>
  <w15:docId w15:val="{A65FB788-DB00-48AF-8D1E-13518867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93C"/>
    <w:rPr>
      <w:rFonts w:ascii="Calibri" w:eastAsia="Calibri" w:hAnsi="Calibri" w:cs="Calibri"/>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09793C"/>
    <w:rPr>
      <w:vertAlign w:val="superscript"/>
    </w:rPr>
  </w:style>
  <w:style w:type="paragraph" w:styleId="Header">
    <w:name w:val="header"/>
    <w:basedOn w:val="Normal"/>
    <w:link w:val="HeaderChar"/>
    <w:uiPriority w:val="99"/>
    <w:unhideWhenUsed/>
    <w:rsid w:val="00204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7B0"/>
    <w:rPr>
      <w:rFonts w:ascii="Calibri" w:eastAsia="Calibri" w:hAnsi="Calibri" w:cs="Calibri"/>
      <w:lang w:eastAsia="en-ID"/>
    </w:rPr>
  </w:style>
  <w:style w:type="paragraph" w:styleId="Footer">
    <w:name w:val="footer"/>
    <w:basedOn w:val="Normal"/>
    <w:link w:val="FooterChar"/>
    <w:uiPriority w:val="99"/>
    <w:unhideWhenUsed/>
    <w:rsid w:val="00204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7B0"/>
    <w:rPr>
      <w:rFonts w:ascii="Calibri" w:eastAsia="Calibri" w:hAnsi="Calibri" w:cs="Calibri"/>
      <w:lang w:eastAsia="en-ID"/>
    </w:rPr>
  </w:style>
  <w:style w:type="paragraph" w:styleId="FootnoteText">
    <w:name w:val="footnote text"/>
    <w:basedOn w:val="Normal"/>
    <w:link w:val="FootnoteTextChar"/>
    <w:uiPriority w:val="99"/>
    <w:semiHidden/>
    <w:unhideWhenUsed/>
    <w:rsid w:val="00C528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2803"/>
    <w:rPr>
      <w:rFonts w:ascii="Calibri" w:eastAsia="Calibri" w:hAnsi="Calibri" w:cs="Calibri"/>
      <w:sz w:val="20"/>
      <w:szCs w:val="20"/>
      <w:lang w:eastAsia="en-ID"/>
    </w:rPr>
  </w:style>
  <w:style w:type="character" w:styleId="PlaceholderText">
    <w:name w:val="Placeholder Text"/>
    <w:basedOn w:val="DefaultParagraphFont"/>
    <w:uiPriority w:val="99"/>
    <w:semiHidden/>
    <w:rsid w:val="005B33DF"/>
    <w:rPr>
      <w:color w:val="666666"/>
    </w:rPr>
  </w:style>
  <w:style w:type="character" w:styleId="Hyperlink">
    <w:name w:val="Hyperlink"/>
    <w:basedOn w:val="DefaultParagraphFont"/>
    <w:uiPriority w:val="99"/>
    <w:unhideWhenUsed/>
    <w:rsid w:val="00A55947"/>
    <w:rPr>
      <w:color w:val="0563C1" w:themeColor="hyperlink"/>
      <w:u w:val="single"/>
    </w:rPr>
  </w:style>
  <w:style w:type="character" w:styleId="UnresolvedMention">
    <w:name w:val="Unresolved Mention"/>
    <w:basedOn w:val="DefaultParagraphFont"/>
    <w:uiPriority w:val="99"/>
    <w:semiHidden/>
    <w:unhideWhenUsed/>
    <w:rsid w:val="00A55947"/>
    <w:rPr>
      <w:color w:val="605E5C"/>
      <w:shd w:val="clear" w:color="auto" w:fill="E1DFDD"/>
    </w:rPr>
  </w:style>
  <w:style w:type="paragraph" w:styleId="ListParagraph">
    <w:name w:val="List Paragraph"/>
    <w:basedOn w:val="Normal"/>
    <w:uiPriority w:val="34"/>
    <w:qFormat/>
    <w:rsid w:val="00D31D26"/>
    <w:pPr>
      <w:ind w:left="720"/>
      <w:contextualSpacing/>
    </w:pPr>
  </w:style>
  <w:style w:type="paragraph" w:styleId="EndnoteText">
    <w:name w:val="endnote text"/>
    <w:basedOn w:val="Normal"/>
    <w:link w:val="EndnoteTextChar"/>
    <w:uiPriority w:val="99"/>
    <w:semiHidden/>
    <w:unhideWhenUsed/>
    <w:rsid w:val="00E427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27ED"/>
    <w:rPr>
      <w:rFonts w:ascii="Calibri" w:eastAsia="Calibri" w:hAnsi="Calibri" w:cs="Calibri"/>
      <w:sz w:val="20"/>
      <w:szCs w:val="20"/>
      <w:lang w:eastAsia="en-ID"/>
    </w:rPr>
  </w:style>
  <w:style w:type="character" w:styleId="EndnoteReference">
    <w:name w:val="endnote reference"/>
    <w:basedOn w:val="DefaultParagraphFont"/>
    <w:uiPriority w:val="99"/>
    <w:semiHidden/>
    <w:unhideWhenUsed/>
    <w:rsid w:val="00E427ED"/>
    <w:rPr>
      <w:vertAlign w:val="superscript"/>
    </w:rPr>
  </w:style>
  <w:style w:type="character" w:styleId="CommentReference">
    <w:name w:val="annotation reference"/>
    <w:basedOn w:val="DefaultParagraphFont"/>
    <w:uiPriority w:val="99"/>
    <w:semiHidden/>
    <w:unhideWhenUsed/>
    <w:rsid w:val="00A97B93"/>
    <w:rPr>
      <w:sz w:val="16"/>
      <w:szCs w:val="16"/>
    </w:rPr>
  </w:style>
  <w:style w:type="paragraph" w:styleId="CommentText">
    <w:name w:val="annotation text"/>
    <w:basedOn w:val="Normal"/>
    <w:link w:val="CommentTextChar"/>
    <w:uiPriority w:val="99"/>
    <w:unhideWhenUsed/>
    <w:rsid w:val="00A97B93"/>
    <w:pPr>
      <w:spacing w:line="240" w:lineRule="auto"/>
    </w:pPr>
    <w:rPr>
      <w:sz w:val="20"/>
      <w:szCs w:val="20"/>
    </w:rPr>
  </w:style>
  <w:style w:type="character" w:customStyle="1" w:styleId="CommentTextChar">
    <w:name w:val="Comment Text Char"/>
    <w:basedOn w:val="DefaultParagraphFont"/>
    <w:link w:val="CommentText"/>
    <w:uiPriority w:val="99"/>
    <w:rsid w:val="00A97B93"/>
    <w:rPr>
      <w:rFonts w:ascii="Calibri" w:eastAsia="Calibri" w:hAnsi="Calibri" w:cs="Calibri"/>
      <w:sz w:val="20"/>
      <w:szCs w:val="20"/>
      <w:lang w:eastAsia="en-ID"/>
    </w:rPr>
  </w:style>
  <w:style w:type="paragraph" w:styleId="CommentSubject">
    <w:name w:val="annotation subject"/>
    <w:basedOn w:val="CommentText"/>
    <w:next w:val="CommentText"/>
    <w:link w:val="CommentSubjectChar"/>
    <w:uiPriority w:val="99"/>
    <w:semiHidden/>
    <w:unhideWhenUsed/>
    <w:rsid w:val="00A97B93"/>
    <w:rPr>
      <w:b/>
      <w:bCs/>
    </w:rPr>
  </w:style>
  <w:style w:type="character" w:customStyle="1" w:styleId="CommentSubjectChar">
    <w:name w:val="Comment Subject Char"/>
    <w:basedOn w:val="CommentTextChar"/>
    <w:link w:val="CommentSubject"/>
    <w:uiPriority w:val="99"/>
    <w:semiHidden/>
    <w:rsid w:val="00A97B93"/>
    <w:rPr>
      <w:rFonts w:ascii="Calibri" w:eastAsia="Calibri" w:hAnsi="Calibri" w:cs="Calibri"/>
      <w:b/>
      <w:bCs/>
      <w:sz w:val="20"/>
      <w:szCs w:val="2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doi.org/" TargetMode="External"/><Relationship Id="rId1"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C8552-E09E-4533-92CD-0B18CFCFA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5423</Words>
  <Characters>30916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Inventaris UNIPER</dc:creator>
  <cp:keywords/>
  <dc:description/>
  <cp:lastModifiedBy>ASUS NOTEBOOK</cp:lastModifiedBy>
  <cp:revision>10</cp:revision>
  <dcterms:created xsi:type="dcterms:W3CDTF">2026-08-18T03:05:00Z</dcterms:created>
  <dcterms:modified xsi:type="dcterms:W3CDTF">2026-08-24T08:38:00Z</dcterms:modified>
</cp:coreProperties>
</file>