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4DD70" w14:textId="6108652E" w:rsidR="00F9144D" w:rsidRPr="00A17E71" w:rsidRDefault="00A17E71" w:rsidP="00F9144D">
      <w:pPr>
        <w:pStyle w:val="NormalWeb"/>
        <w:jc w:val="center"/>
        <w:rPr>
          <w:b/>
          <w:bCs/>
          <w:i/>
          <w:iCs/>
          <w:sz w:val="28"/>
          <w:szCs w:val="28"/>
        </w:rPr>
      </w:pPr>
      <w:r w:rsidRPr="00A17E71">
        <w:rPr>
          <w:b/>
          <w:bCs/>
          <w:i/>
          <w:iCs/>
          <w:sz w:val="28"/>
          <w:szCs w:val="28"/>
        </w:rPr>
        <w:t xml:space="preserve">CONSUMER PROTECTION IN INTERNATIONAL TRADE E-COMMERCE TRANSACTIONS AN OVERVIEW FROM AN INTERNATIONAL CIVIL LAW PERSPECTIVE </w:t>
      </w:r>
    </w:p>
    <w:p w14:paraId="3C429624" w14:textId="0C85CE94" w:rsidR="00FE34A1" w:rsidRDefault="003A0CBF" w:rsidP="003A0CBF">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Zaki Alhafis</w:t>
      </w:r>
      <w:r w:rsidRPr="003A0CBF">
        <w:rPr>
          <w:rFonts w:ascii="Times New Roman" w:eastAsia="Times New Roman" w:hAnsi="Times New Roman" w:cs="Times New Roman"/>
          <w:sz w:val="20"/>
          <w:szCs w:val="20"/>
          <w:vertAlign w:val="superscript"/>
          <w:lang w:val="en-US"/>
        </w:rPr>
        <w:t>1</w:t>
      </w:r>
      <w:r>
        <w:rPr>
          <w:rFonts w:ascii="Times New Roman" w:eastAsia="Times New Roman" w:hAnsi="Times New Roman" w:cs="Times New Roman"/>
          <w:sz w:val="20"/>
          <w:szCs w:val="20"/>
          <w:lang w:val="en-US"/>
        </w:rPr>
        <w:t xml:space="preserve">, </w:t>
      </w:r>
      <w:r w:rsidRPr="003A0CBF">
        <w:rPr>
          <w:rFonts w:ascii="Times New Roman" w:eastAsia="Times New Roman" w:hAnsi="Times New Roman" w:cs="Times New Roman"/>
          <w:sz w:val="20"/>
          <w:szCs w:val="20"/>
          <w:lang w:val="en-US"/>
        </w:rPr>
        <w:t>Anis Rindiandi</w:t>
      </w:r>
      <w:r w:rsidRPr="003A0CBF">
        <w:rPr>
          <w:rFonts w:ascii="Times New Roman" w:eastAsia="Times New Roman" w:hAnsi="Times New Roman" w:cs="Times New Roman"/>
          <w:sz w:val="20"/>
          <w:szCs w:val="20"/>
          <w:vertAlign w:val="superscript"/>
          <w:lang w:val="en-US"/>
        </w:rPr>
        <w:t>2</w:t>
      </w:r>
      <w:r>
        <w:rPr>
          <w:rFonts w:ascii="Times New Roman" w:eastAsia="Times New Roman" w:hAnsi="Times New Roman" w:cs="Times New Roman"/>
          <w:sz w:val="20"/>
          <w:szCs w:val="20"/>
          <w:lang w:val="en-US"/>
        </w:rPr>
        <w:t xml:space="preserve">, </w:t>
      </w:r>
      <w:r w:rsidRPr="003A0CBF">
        <w:rPr>
          <w:rFonts w:ascii="Times New Roman" w:eastAsia="Times New Roman" w:hAnsi="Times New Roman" w:cs="Times New Roman"/>
          <w:sz w:val="20"/>
          <w:szCs w:val="20"/>
          <w:lang w:val="en-US"/>
        </w:rPr>
        <w:t>Arifin Faqih Gunawan</w:t>
      </w:r>
      <w:r w:rsidRPr="003A0CBF">
        <w:rPr>
          <w:rFonts w:ascii="Times New Roman" w:eastAsia="Times New Roman" w:hAnsi="Times New Roman" w:cs="Times New Roman"/>
          <w:sz w:val="20"/>
          <w:szCs w:val="20"/>
          <w:vertAlign w:val="superscript"/>
          <w:lang w:val="en-US"/>
        </w:rPr>
        <w:t>3</w:t>
      </w:r>
    </w:p>
    <w:p w14:paraId="77010125" w14:textId="77777777" w:rsidR="003A0CBF" w:rsidRPr="003A0CBF" w:rsidRDefault="003A0CBF" w:rsidP="003A0CBF">
      <w:pPr>
        <w:spacing w:after="0" w:line="240" w:lineRule="auto"/>
        <w:rPr>
          <w:rFonts w:ascii="Times New Roman" w:eastAsia="Times New Roman" w:hAnsi="Times New Roman" w:cs="Times New Roman"/>
          <w:sz w:val="20"/>
          <w:szCs w:val="20"/>
          <w:lang w:val="en-US"/>
        </w:rPr>
      </w:pPr>
    </w:p>
    <w:p w14:paraId="23954CC1" w14:textId="57D88179" w:rsidR="003A0CBF" w:rsidRPr="003A0CBF" w:rsidRDefault="003A0CBF" w:rsidP="003A0CBF">
      <w:pPr>
        <w:spacing w:after="0" w:line="240" w:lineRule="auto"/>
        <w:rPr>
          <w:rFonts w:ascii="Times New Roman" w:eastAsia="Times New Roman" w:hAnsi="Times New Roman" w:cs="Times New Roman"/>
          <w:sz w:val="20"/>
          <w:szCs w:val="20"/>
        </w:rPr>
      </w:pPr>
      <w:r w:rsidRPr="003A0CBF">
        <w:rPr>
          <w:rFonts w:ascii="Times New Roman" w:eastAsia="Times New Roman" w:hAnsi="Times New Roman" w:cs="Times New Roman"/>
          <w:sz w:val="20"/>
          <w:szCs w:val="20"/>
          <w:vertAlign w:val="superscript"/>
        </w:rPr>
        <w:t>1</w:t>
      </w:r>
      <w:r w:rsidR="00FB4EE0">
        <w:rPr>
          <w:rFonts w:ascii="Times New Roman" w:eastAsia="Times New Roman" w:hAnsi="Times New Roman" w:cs="Times New Roman"/>
          <w:sz w:val="20"/>
          <w:szCs w:val="20"/>
        </w:rPr>
        <w:t>L</w:t>
      </w:r>
      <w:r w:rsidRPr="003A0CBF">
        <w:rPr>
          <w:rFonts w:ascii="Times New Roman" w:eastAsia="Times New Roman" w:hAnsi="Times New Roman" w:cs="Times New Roman"/>
          <w:sz w:val="20"/>
          <w:szCs w:val="20"/>
        </w:rPr>
        <w:t xml:space="preserve">aw </w:t>
      </w:r>
      <w:r w:rsidR="00FB4EE0">
        <w:rPr>
          <w:rFonts w:ascii="Times New Roman" w:eastAsia="Times New Roman" w:hAnsi="Times New Roman" w:cs="Times New Roman"/>
          <w:sz w:val="20"/>
          <w:szCs w:val="20"/>
        </w:rPr>
        <w:t>S</w:t>
      </w:r>
      <w:r w:rsidRPr="003A0CBF">
        <w:rPr>
          <w:rFonts w:ascii="Times New Roman" w:eastAsia="Times New Roman" w:hAnsi="Times New Roman" w:cs="Times New Roman"/>
          <w:sz w:val="20"/>
          <w:szCs w:val="20"/>
        </w:rPr>
        <w:t xml:space="preserve">tudent at </w:t>
      </w:r>
      <w:proofErr w:type="spellStart"/>
      <w:r w:rsidRPr="003A0CBF">
        <w:rPr>
          <w:rFonts w:ascii="Times New Roman" w:eastAsia="Times New Roman" w:hAnsi="Times New Roman" w:cs="Times New Roman"/>
          <w:sz w:val="20"/>
          <w:szCs w:val="20"/>
        </w:rPr>
        <w:t>Pertiba</w:t>
      </w:r>
      <w:proofErr w:type="spellEnd"/>
      <w:r w:rsidRPr="003A0CBF">
        <w:rPr>
          <w:rFonts w:ascii="Times New Roman" w:eastAsia="Times New Roman" w:hAnsi="Times New Roman" w:cs="Times New Roman"/>
          <w:sz w:val="20"/>
          <w:szCs w:val="20"/>
        </w:rPr>
        <w:t xml:space="preserve"> University</w:t>
      </w:r>
    </w:p>
    <w:p w14:paraId="31AE5C8F" w14:textId="03D9899A" w:rsidR="003A0CBF" w:rsidRPr="003A0CBF" w:rsidRDefault="003A0CBF" w:rsidP="003A0CBF">
      <w:pPr>
        <w:spacing w:after="0" w:line="240" w:lineRule="auto"/>
        <w:rPr>
          <w:rFonts w:ascii="Times New Roman" w:eastAsia="Times New Roman" w:hAnsi="Times New Roman" w:cs="Times New Roman"/>
          <w:sz w:val="20"/>
          <w:szCs w:val="20"/>
          <w:vertAlign w:val="superscript"/>
        </w:rPr>
      </w:pPr>
      <w:r w:rsidRPr="003A0CBF">
        <w:rPr>
          <w:rFonts w:ascii="Times New Roman" w:eastAsia="Times New Roman" w:hAnsi="Times New Roman" w:cs="Times New Roman"/>
          <w:sz w:val="20"/>
          <w:szCs w:val="20"/>
          <w:vertAlign w:val="superscript"/>
        </w:rPr>
        <w:t>2</w:t>
      </w:r>
      <w:r w:rsidR="00FB4EE0">
        <w:rPr>
          <w:rFonts w:ascii="Times New Roman" w:eastAsia="Times New Roman" w:hAnsi="Times New Roman" w:cs="Times New Roman"/>
          <w:sz w:val="20"/>
          <w:szCs w:val="20"/>
          <w:lang w:val="en-US"/>
        </w:rPr>
        <w:t>L</w:t>
      </w:r>
      <w:r w:rsidRPr="003A0CBF">
        <w:rPr>
          <w:rFonts w:ascii="Times New Roman" w:eastAsia="Times New Roman" w:hAnsi="Times New Roman" w:cs="Times New Roman"/>
          <w:sz w:val="20"/>
          <w:szCs w:val="20"/>
          <w:lang w:val="en-US"/>
        </w:rPr>
        <w:t xml:space="preserve">ecturer at the Faculty of Law, </w:t>
      </w:r>
      <w:proofErr w:type="spellStart"/>
      <w:r w:rsidRPr="003A0CBF">
        <w:rPr>
          <w:rFonts w:ascii="Times New Roman" w:eastAsia="Times New Roman" w:hAnsi="Times New Roman" w:cs="Times New Roman"/>
          <w:sz w:val="20"/>
          <w:szCs w:val="20"/>
          <w:lang w:val="en-US"/>
        </w:rPr>
        <w:t>Pertiba</w:t>
      </w:r>
      <w:proofErr w:type="spellEnd"/>
      <w:r w:rsidRPr="003A0CBF">
        <w:rPr>
          <w:rFonts w:ascii="Times New Roman" w:eastAsia="Times New Roman" w:hAnsi="Times New Roman" w:cs="Times New Roman"/>
          <w:sz w:val="20"/>
          <w:szCs w:val="20"/>
          <w:lang w:val="en-US"/>
        </w:rPr>
        <w:t xml:space="preserve"> University</w:t>
      </w:r>
      <w:r w:rsidRPr="003A0CBF">
        <w:rPr>
          <w:rFonts w:ascii="Times New Roman" w:eastAsia="Times New Roman" w:hAnsi="Times New Roman" w:cs="Times New Roman"/>
          <w:sz w:val="20"/>
          <w:szCs w:val="20"/>
          <w:vertAlign w:val="superscript"/>
        </w:rPr>
        <w:t xml:space="preserve"> </w:t>
      </w:r>
    </w:p>
    <w:p w14:paraId="0921A8A1" w14:textId="4B809BA2" w:rsidR="003A0CBF" w:rsidRPr="003A0CBF" w:rsidRDefault="003A0CBF" w:rsidP="003A0CBF">
      <w:pPr>
        <w:spacing w:after="0" w:line="240" w:lineRule="auto"/>
        <w:rPr>
          <w:rFonts w:ascii="Times New Roman" w:eastAsia="Times New Roman" w:hAnsi="Times New Roman" w:cs="Times New Roman"/>
          <w:i/>
          <w:sz w:val="20"/>
          <w:szCs w:val="20"/>
        </w:rPr>
      </w:pPr>
      <w:r w:rsidRPr="003A0CBF">
        <w:rPr>
          <w:rFonts w:ascii="Times New Roman" w:eastAsia="Times New Roman" w:hAnsi="Times New Roman" w:cs="Times New Roman"/>
          <w:sz w:val="20"/>
          <w:szCs w:val="20"/>
          <w:vertAlign w:val="superscript"/>
        </w:rPr>
        <w:t>3</w:t>
      </w:r>
      <w:r w:rsidR="00FB4EE0">
        <w:rPr>
          <w:rFonts w:ascii="Times New Roman" w:eastAsia="Times New Roman" w:hAnsi="Times New Roman" w:cs="Times New Roman"/>
          <w:sz w:val="20"/>
          <w:szCs w:val="20"/>
          <w:lang w:val="en-US"/>
        </w:rPr>
        <w:t>L</w:t>
      </w:r>
      <w:r w:rsidRPr="003A0CBF">
        <w:rPr>
          <w:rFonts w:ascii="Times New Roman" w:eastAsia="Times New Roman" w:hAnsi="Times New Roman" w:cs="Times New Roman"/>
          <w:sz w:val="20"/>
          <w:szCs w:val="20"/>
          <w:lang w:val="en-US"/>
        </w:rPr>
        <w:t xml:space="preserve">ecturer at the Faculty of Law, </w:t>
      </w:r>
      <w:proofErr w:type="spellStart"/>
      <w:r w:rsidRPr="003A0CBF">
        <w:rPr>
          <w:rFonts w:ascii="Times New Roman" w:eastAsia="Times New Roman" w:hAnsi="Times New Roman" w:cs="Times New Roman"/>
          <w:sz w:val="20"/>
          <w:szCs w:val="20"/>
          <w:lang w:val="en-US"/>
        </w:rPr>
        <w:t>Pertiba</w:t>
      </w:r>
      <w:proofErr w:type="spellEnd"/>
      <w:r w:rsidRPr="003A0CBF">
        <w:rPr>
          <w:rFonts w:ascii="Times New Roman" w:eastAsia="Times New Roman" w:hAnsi="Times New Roman" w:cs="Times New Roman"/>
          <w:sz w:val="20"/>
          <w:szCs w:val="20"/>
          <w:lang w:val="en-US"/>
        </w:rPr>
        <w:t xml:space="preserve"> University</w:t>
      </w:r>
      <w:r w:rsidRPr="003A0CBF">
        <w:rPr>
          <w:rFonts w:ascii="Times New Roman" w:eastAsia="Times New Roman" w:hAnsi="Times New Roman" w:cs="Times New Roman"/>
          <w:i/>
          <w:sz w:val="20"/>
          <w:szCs w:val="20"/>
        </w:rPr>
        <w:t xml:space="preserve"> </w:t>
      </w:r>
    </w:p>
    <w:p w14:paraId="6EC1FB14" w14:textId="77777777" w:rsidR="002047B0" w:rsidRPr="002047B0" w:rsidRDefault="002047B0" w:rsidP="002047B0">
      <w:pPr>
        <w:spacing w:after="0" w:line="240" w:lineRule="auto"/>
        <w:rPr>
          <w:rFonts w:ascii="Times New Roman" w:eastAsia="Times New Roman" w:hAnsi="Times New Roman" w:cs="Times New Roman"/>
          <w:sz w:val="20"/>
          <w:szCs w:val="20"/>
        </w:rPr>
      </w:pPr>
    </w:p>
    <w:tbl>
      <w:tblPr>
        <w:tblW w:w="9016" w:type="dxa"/>
        <w:tblInd w:w="-108" w:type="dxa"/>
        <w:tblBorders>
          <w:top w:val="nil"/>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3369"/>
        <w:gridCol w:w="5647"/>
      </w:tblGrid>
      <w:tr w:rsidR="0009793C" w14:paraId="4E09141E" w14:textId="77777777" w:rsidTr="00A17E71">
        <w:tc>
          <w:tcPr>
            <w:tcW w:w="3369" w:type="dxa"/>
          </w:tcPr>
          <w:p w14:paraId="22CA13A5" w14:textId="7AF6502D" w:rsidR="0009793C" w:rsidRDefault="0009793C" w:rsidP="003A0CBF">
            <w:pPr>
              <w:spacing w:after="0" w:line="240" w:lineRule="auto"/>
              <w:ind w:left="-107"/>
              <w:rPr>
                <w:rFonts w:ascii="Times New Roman" w:eastAsia="Times New Roman" w:hAnsi="Times New Roman" w:cs="Times New Roman"/>
                <w:sz w:val="28"/>
                <w:szCs w:val="28"/>
              </w:rPr>
            </w:pPr>
            <w:r>
              <w:rPr>
                <w:rFonts w:ascii="Times New Roman" w:eastAsia="Times New Roman" w:hAnsi="Times New Roman" w:cs="Times New Roman"/>
                <w:color w:val="000000"/>
                <w:sz w:val="20"/>
                <w:szCs w:val="20"/>
              </w:rPr>
              <w:t>Received:</w:t>
            </w:r>
            <w:r w:rsidR="00FB4EE0">
              <w:rPr>
                <w:rFonts w:ascii="Times New Roman" w:eastAsia="Times New Roman" w:hAnsi="Times New Roman" w:cs="Times New Roman"/>
                <w:color w:val="000000"/>
                <w:sz w:val="20"/>
                <w:szCs w:val="20"/>
              </w:rPr>
              <w:t xml:space="preserve"> August 10, 2026</w:t>
            </w:r>
          </w:p>
          <w:p w14:paraId="3D6071A4" w14:textId="0380D0AD" w:rsidR="0009793C" w:rsidRDefault="0009793C" w:rsidP="003A0CBF">
            <w:pPr>
              <w:spacing w:after="0" w:line="240" w:lineRule="auto"/>
              <w:ind w:left="-107"/>
              <w:rPr>
                <w:rFonts w:ascii="Times New Roman" w:eastAsia="Times New Roman" w:hAnsi="Times New Roman" w:cs="Times New Roman"/>
                <w:sz w:val="28"/>
                <w:szCs w:val="28"/>
              </w:rPr>
            </w:pPr>
            <w:r>
              <w:rPr>
                <w:rFonts w:ascii="Times New Roman" w:eastAsia="Times New Roman" w:hAnsi="Times New Roman" w:cs="Times New Roman"/>
                <w:color w:val="000000"/>
                <w:sz w:val="20"/>
                <w:szCs w:val="20"/>
              </w:rPr>
              <w:t>Revised:</w:t>
            </w:r>
            <w:r w:rsidR="00FB4EE0">
              <w:rPr>
                <w:rFonts w:ascii="Times New Roman" w:eastAsia="Times New Roman" w:hAnsi="Times New Roman" w:cs="Times New Roman"/>
                <w:color w:val="000000"/>
                <w:sz w:val="20"/>
                <w:szCs w:val="20"/>
              </w:rPr>
              <w:t xml:space="preserve"> August 1</w:t>
            </w:r>
            <w:r w:rsidR="00A87838">
              <w:rPr>
                <w:rFonts w:ascii="Times New Roman" w:eastAsia="Times New Roman" w:hAnsi="Times New Roman" w:cs="Times New Roman"/>
                <w:color w:val="000000"/>
                <w:sz w:val="20"/>
                <w:szCs w:val="20"/>
              </w:rPr>
              <w:t>4</w:t>
            </w:r>
            <w:r w:rsidR="00FB4EE0">
              <w:rPr>
                <w:rFonts w:ascii="Times New Roman" w:eastAsia="Times New Roman" w:hAnsi="Times New Roman" w:cs="Times New Roman"/>
                <w:color w:val="000000"/>
                <w:sz w:val="20"/>
                <w:szCs w:val="20"/>
              </w:rPr>
              <w:t>, 2026</w:t>
            </w:r>
          </w:p>
          <w:p w14:paraId="37F46C1B" w14:textId="277C139B" w:rsidR="0009793C" w:rsidRDefault="0009793C" w:rsidP="003A0CBF">
            <w:pPr>
              <w:spacing w:after="0" w:line="240" w:lineRule="auto"/>
              <w:ind w:left="-107"/>
              <w:rPr>
                <w:rFonts w:ascii="Times New Roman" w:eastAsia="Times New Roman" w:hAnsi="Times New Roman" w:cs="Times New Roman"/>
                <w:sz w:val="28"/>
                <w:szCs w:val="28"/>
              </w:rPr>
            </w:pPr>
            <w:r>
              <w:rPr>
                <w:rFonts w:ascii="Times New Roman" w:eastAsia="Times New Roman" w:hAnsi="Times New Roman" w:cs="Times New Roman"/>
                <w:color w:val="000000"/>
                <w:sz w:val="20"/>
                <w:szCs w:val="20"/>
              </w:rPr>
              <w:t>Accepted:</w:t>
            </w:r>
            <w:r w:rsidR="004900E7">
              <w:rPr>
                <w:rFonts w:ascii="Times New Roman" w:eastAsia="Times New Roman" w:hAnsi="Times New Roman" w:cs="Times New Roman"/>
                <w:color w:val="000000"/>
                <w:sz w:val="20"/>
                <w:szCs w:val="20"/>
              </w:rPr>
              <w:t xml:space="preserve"> </w:t>
            </w:r>
            <w:r w:rsidR="005340A2">
              <w:rPr>
                <w:rFonts w:ascii="Times New Roman" w:eastAsia="Times New Roman" w:hAnsi="Times New Roman" w:cs="Times New Roman"/>
                <w:color w:val="000000"/>
                <w:sz w:val="20"/>
                <w:szCs w:val="20"/>
              </w:rPr>
              <w:t>August 19, 2026</w:t>
            </w:r>
          </w:p>
          <w:p w14:paraId="6975A8C4" w14:textId="32F33267" w:rsidR="0009793C" w:rsidRDefault="0009793C" w:rsidP="003A0CBF">
            <w:pPr>
              <w:spacing w:after="0" w:line="240" w:lineRule="auto"/>
              <w:ind w:left="-107"/>
              <w:rPr>
                <w:rFonts w:ascii="Times New Roman" w:eastAsia="Times New Roman" w:hAnsi="Times New Roman" w:cs="Times New Roman"/>
                <w:sz w:val="28"/>
                <w:szCs w:val="28"/>
              </w:rPr>
            </w:pPr>
            <w:r>
              <w:rPr>
                <w:rFonts w:ascii="Times New Roman" w:eastAsia="Times New Roman" w:hAnsi="Times New Roman" w:cs="Times New Roman"/>
                <w:color w:val="000000"/>
                <w:sz w:val="20"/>
                <w:szCs w:val="20"/>
              </w:rPr>
              <w:t>Published:</w:t>
            </w:r>
            <w:r w:rsidR="005340A2">
              <w:rPr>
                <w:rFonts w:ascii="Times New Roman" w:eastAsia="Times New Roman" w:hAnsi="Times New Roman" w:cs="Times New Roman"/>
                <w:color w:val="000000"/>
                <w:sz w:val="20"/>
                <w:szCs w:val="20"/>
              </w:rPr>
              <w:t xml:space="preserve"> August 25, 2026</w:t>
            </w:r>
          </w:p>
          <w:p w14:paraId="2C2BB734" w14:textId="77777777" w:rsidR="003A0CBF" w:rsidRDefault="003A0CBF" w:rsidP="003A0CBF">
            <w:pPr>
              <w:ind w:left="-107"/>
              <w:rPr>
                <w:rFonts w:ascii="Times New Roman" w:eastAsia="Times New Roman" w:hAnsi="Times New Roman" w:cs="Times New Roman"/>
                <w:sz w:val="28"/>
                <w:szCs w:val="28"/>
              </w:rPr>
            </w:pPr>
          </w:p>
          <w:p w14:paraId="61D860F6" w14:textId="77777777" w:rsidR="0009793C" w:rsidRDefault="0009793C" w:rsidP="003A0CBF">
            <w:pPr>
              <w:spacing w:after="0"/>
              <w:ind w:left="-108"/>
              <w:rPr>
                <w:rFonts w:ascii="Times New Roman" w:eastAsia="Times New Roman" w:hAnsi="Times New Roman" w:cs="Times New Roman"/>
                <w:sz w:val="28"/>
                <w:szCs w:val="28"/>
              </w:rPr>
            </w:pPr>
            <w:r>
              <w:rPr>
                <w:rFonts w:ascii="Times New Roman" w:eastAsia="Times New Roman" w:hAnsi="Times New Roman" w:cs="Times New Roman"/>
                <w:color w:val="000000"/>
                <w:sz w:val="20"/>
                <w:szCs w:val="20"/>
              </w:rPr>
              <w:t>Corresponding Author:</w:t>
            </w:r>
          </w:p>
          <w:p w14:paraId="450C9D93" w14:textId="2336B7C1" w:rsidR="0009793C" w:rsidRPr="00FE34A1" w:rsidRDefault="0009793C" w:rsidP="003A0CBF">
            <w:pPr>
              <w:spacing w:after="0"/>
              <w:ind w:left="-107"/>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color w:val="000000"/>
                <w:sz w:val="20"/>
                <w:szCs w:val="20"/>
              </w:rPr>
              <w:t>Author Name</w:t>
            </w:r>
            <w:r>
              <w:rPr>
                <w:rFonts w:ascii="Times New Roman" w:eastAsia="Times New Roman" w:hAnsi="Times New Roman" w:cs="Times New Roman"/>
                <w:color w:val="FF0000"/>
                <w:sz w:val="20"/>
                <w:szCs w:val="20"/>
              </w:rPr>
              <w:t>*</w:t>
            </w:r>
            <w:r>
              <w:rPr>
                <w:rFonts w:ascii="Times New Roman" w:eastAsia="Times New Roman" w:hAnsi="Times New Roman" w:cs="Times New Roman"/>
                <w:color w:val="000000"/>
                <w:sz w:val="20"/>
                <w:szCs w:val="20"/>
              </w:rPr>
              <w:t>: Zaki Alhafis</w:t>
            </w:r>
          </w:p>
          <w:p w14:paraId="77BF2D3D" w14:textId="3216F337" w:rsidR="00FE34A1" w:rsidRPr="00FE34A1" w:rsidRDefault="0009793C" w:rsidP="003A0CBF">
            <w:pPr>
              <w:spacing w:after="0"/>
              <w:ind w:left="-107"/>
              <w:rPr>
                <w:bCs/>
                <w:lang w:val="en-US"/>
              </w:rPr>
            </w:pPr>
            <w:r>
              <w:rPr>
                <w:rFonts w:ascii="Times New Roman" w:eastAsia="Times New Roman" w:hAnsi="Times New Roman" w:cs="Times New Roman"/>
                <w:color w:val="000000"/>
                <w:sz w:val="20"/>
                <w:szCs w:val="20"/>
              </w:rPr>
              <w:t>Email</w:t>
            </w:r>
            <w:r>
              <w:rPr>
                <w:rFonts w:ascii="Times New Roman" w:eastAsia="Times New Roman" w:hAnsi="Times New Roman" w:cs="Times New Roman"/>
                <w:color w:val="FF0000"/>
                <w:sz w:val="20"/>
                <w:szCs w:val="20"/>
              </w:rPr>
              <w:t>*</w:t>
            </w:r>
            <w:r w:rsidRPr="00FE34A1">
              <w:rPr>
                <w:rFonts w:ascii="Times New Roman" w:eastAsia="Times New Roman" w:hAnsi="Times New Roman" w:cs="Times New Roman"/>
                <w:color w:val="000000"/>
                <w:sz w:val="20"/>
                <w:szCs w:val="20"/>
              </w:rPr>
              <w:t>:</w:t>
            </w:r>
            <w:hyperlink r:id="rId8" w:history="1">
              <w:r w:rsidR="00A17E71" w:rsidRPr="00A17E71">
                <w:rPr>
                  <w:rStyle w:val="Hyperlink"/>
                  <w:rFonts w:ascii="Times New Roman" w:hAnsi="Times New Roman" w:cs="Times New Roman"/>
                </w:rPr>
                <w:t>zakyalhafis</w:t>
              </w:r>
              <w:r w:rsidR="00A17E71" w:rsidRPr="00273181">
                <w:rPr>
                  <w:rStyle w:val="Hyperlink"/>
                  <w:rFonts w:ascii="Times New Roman" w:hAnsi="Times New Roman" w:cs="Times New Roman"/>
                  <w:sz w:val="20"/>
                  <w:szCs w:val="20"/>
                </w:rPr>
                <w:t>@gmail.com</w:t>
              </w:r>
            </w:hyperlink>
          </w:p>
          <w:p w14:paraId="1005F2F0" w14:textId="7C376921" w:rsidR="0009793C" w:rsidRDefault="0009793C" w:rsidP="00B26235">
            <w:pPr>
              <w:ind w:left="-107"/>
              <w:rPr>
                <w:rFonts w:ascii="Times New Roman" w:eastAsia="Times New Roman" w:hAnsi="Times New Roman" w:cs="Times New Roman"/>
                <w:sz w:val="28"/>
                <w:szCs w:val="28"/>
              </w:rPr>
            </w:pPr>
          </w:p>
          <w:p w14:paraId="4F458F31" w14:textId="77777777" w:rsidR="0009793C" w:rsidRDefault="0009793C" w:rsidP="00B26235">
            <w:pPr>
              <w:rPr>
                <w:rFonts w:ascii="Times New Roman" w:eastAsia="Times New Roman" w:hAnsi="Times New Roman" w:cs="Times New Roman"/>
              </w:rPr>
            </w:pPr>
          </w:p>
        </w:tc>
        <w:tc>
          <w:tcPr>
            <w:tcW w:w="5647" w:type="dxa"/>
          </w:tcPr>
          <w:p w14:paraId="3859CD06" w14:textId="7B18F337" w:rsidR="00A17E71" w:rsidRPr="00A17E71" w:rsidRDefault="00A17E71" w:rsidP="00A17E71">
            <w:pPr>
              <w:jc w:val="both"/>
              <w:rPr>
                <w:rFonts w:ascii="Times New Roman" w:eastAsia="Times New Roman" w:hAnsi="Times New Roman" w:cs="Times New Roman"/>
                <w:i/>
                <w:iCs/>
                <w:sz w:val="20"/>
                <w:szCs w:val="20"/>
              </w:rPr>
            </w:pPr>
            <w:r w:rsidRPr="00A17E71">
              <w:rPr>
                <w:rFonts w:ascii="Times New Roman" w:eastAsia="Times New Roman" w:hAnsi="Times New Roman" w:cs="Times New Roman"/>
                <w:b/>
                <w:bCs/>
                <w:i/>
                <w:iCs/>
                <w:sz w:val="20"/>
                <w:szCs w:val="20"/>
              </w:rPr>
              <w:t xml:space="preserve">Abstract: </w:t>
            </w:r>
            <w:r w:rsidRPr="00A17E71">
              <w:rPr>
                <w:rFonts w:ascii="Times New Roman" w:eastAsia="Times New Roman" w:hAnsi="Times New Roman" w:cs="Times New Roman"/>
                <w:i/>
                <w:iCs/>
                <w:sz w:val="20"/>
                <w:szCs w:val="20"/>
              </w:rPr>
              <w:t xml:space="preserve">The development of information technology has encouraged the rapid growth of e-commerce transactions in international trade which makes it easier for business actors and consumers to conduct cross-border transactions. On the other hand, these developments also raise various legal problems, especially related to consumer protection due to differences in legal systems, jurisdictions, and dispute resolution mechanisms between countries. This study aims to </w:t>
            </w:r>
            <w:proofErr w:type="spellStart"/>
            <w:r w:rsidRPr="00A17E71">
              <w:rPr>
                <w:rFonts w:ascii="Times New Roman" w:eastAsia="Times New Roman" w:hAnsi="Times New Roman" w:cs="Times New Roman"/>
                <w:i/>
                <w:iCs/>
                <w:sz w:val="20"/>
                <w:szCs w:val="20"/>
              </w:rPr>
              <w:t>analyze</w:t>
            </w:r>
            <w:proofErr w:type="spellEnd"/>
            <w:r w:rsidRPr="00A17E71">
              <w:rPr>
                <w:rFonts w:ascii="Times New Roman" w:eastAsia="Times New Roman" w:hAnsi="Times New Roman" w:cs="Times New Roman"/>
                <w:i/>
                <w:iCs/>
                <w:sz w:val="20"/>
                <w:szCs w:val="20"/>
              </w:rPr>
              <w:t xml:space="preserve"> the form of legal protection for consumers in international trade e-commerce transactions and their dispute resolution mechanisms from the perspective of International Civil Law. This research uses normative legal research methods with a legislative approach and a conceptual approach. The legal materials used consist of primary, secondary, and tertiary legal materials that are </w:t>
            </w:r>
            <w:proofErr w:type="spellStart"/>
            <w:r w:rsidRPr="00A17E71">
              <w:rPr>
                <w:rFonts w:ascii="Times New Roman" w:eastAsia="Times New Roman" w:hAnsi="Times New Roman" w:cs="Times New Roman"/>
                <w:i/>
                <w:iCs/>
                <w:sz w:val="20"/>
                <w:szCs w:val="20"/>
              </w:rPr>
              <w:t>analyzed</w:t>
            </w:r>
            <w:proofErr w:type="spellEnd"/>
            <w:r w:rsidRPr="00A17E71">
              <w:rPr>
                <w:rFonts w:ascii="Times New Roman" w:eastAsia="Times New Roman" w:hAnsi="Times New Roman" w:cs="Times New Roman"/>
                <w:i/>
                <w:iCs/>
                <w:sz w:val="20"/>
                <w:szCs w:val="20"/>
              </w:rPr>
              <w:t xml:space="preserve"> qualitatively. The results of the study show that consumer protection in international e-commerce transactions is not only based on national law, but also requires the application of the principles of International Civil Law, such as choice of law, choice of forum, and recognition of foreign judgments. Dispute resolution can be done through litigation or non-litigation, especially international arbitration which is considered more effective in resolving transnational trade disputes. Therefore, it is necessary to harmonize regulations, cooperate between countries, and strengthen the consumer protection system in order to create legal certainty and effective protection in international trade e-commerce transactions.</w:t>
            </w:r>
          </w:p>
          <w:p w14:paraId="3CF99655" w14:textId="681B3B57" w:rsidR="0009793C" w:rsidRPr="00FB4EE0" w:rsidRDefault="00A17E71" w:rsidP="00A17E71">
            <w:pPr>
              <w:jc w:val="both"/>
              <w:rPr>
                <w:rFonts w:ascii="Times New Roman" w:eastAsia="Times New Roman" w:hAnsi="Times New Roman" w:cs="Times New Roman"/>
                <w:b/>
                <w:bCs/>
                <w:i/>
                <w:iCs/>
                <w:sz w:val="20"/>
                <w:szCs w:val="20"/>
              </w:rPr>
            </w:pPr>
            <w:r w:rsidRPr="00FB4EE0">
              <w:rPr>
                <w:rFonts w:ascii="Times New Roman" w:eastAsia="Times New Roman" w:hAnsi="Times New Roman" w:cs="Times New Roman"/>
                <w:b/>
                <w:bCs/>
                <w:i/>
                <w:iCs/>
                <w:sz w:val="20"/>
                <w:szCs w:val="20"/>
              </w:rPr>
              <w:t>Keywords: Consumer Protection, E-Commerce, International Trade, International Civil Law, Arbitration.</w:t>
            </w:r>
          </w:p>
        </w:tc>
      </w:tr>
    </w:tbl>
    <w:p w14:paraId="6B8590A7" w14:textId="77777777" w:rsidR="00A55947" w:rsidRDefault="00A55947" w:rsidP="0009793C">
      <w:pPr>
        <w:spacing w:after="0"/>
        <w:jc w:val="both"/>
        <w:rPr>
          <w:rFonts w:ascii="Times New Roman" w:eastAsia="Times New Roman" w:hAnsi="Times New Roman" w:cs="Times New Roman"/>
          <w:b/>
          <w:sz w:val="24"/>
          <w:szCs w:val="24"/>
        </w:rPr>
      </w:pPr>
    </w:p>
    <w:p w14:paraId="6A565A37" w14:textId="735A5541" w:rsidR="0009793C" w:rsidRDefault="0009793C" w:rsidP="0009793C">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2BBF75F0" w14:textId="7A02D661" w:rsidR="00A17E71" w:rsidRPr="00A17E71" w:rsidRDefault="00A17E71" w:rsidP="003A0CBF">
      <w:pPr>
        <w:ind w:firstLine="720"/>
        <w:jc w:val="both"/>
        <w:rPr>
          <w:rFonts w:ascii="Times New Roman" w:hAnsi="Times New Roman" w:cs="Times New Roman"/>
        </w:rPr>
      </w:pPr>
      <w:r w:rsidRPr="00A17E71">
        <w:rPr>
          <w:rFonts w:ascii="Times New Roman" w:hAnsi="Times New Roman" w:cs="Times New Roman"/>
        </w:rPr>
        <w:t xml:space="preserve">The development of information and communication technology has encouraged transformation in various aspects of life, including in the field of international trade. The use of the internet as a means of transaction has given birth to an electronic commerce system (electronic commerce or e-commerce) that allows business actors and consumers to make transactions without being limited by space and time. This convenience has a positive impact on global economic growth because it is able to expand market access, </w:t>
      </w:r>
      <w:r w:rsidRPr="00A17E71">
        <w:rPr>
          <w:rFonts w:ascii="Times New Roman" w:hAnsi="Times New Roman" w:cs="Times New Roman"/>
        </w:rPr>
        <w:lastRenderedPageBreak/>
        <w:t>increase transaction efficiency, and facilitate the distribution of goods and services between countries. However, behind these benefits, e-commerce transactions also raise various legal issues, especially related to the protection of consumers who conduct cross-border transactions.</w:t>
      </w:r>
      <w:r w:rsidR="00B22F4E">
        <w:rPr>
          <w:rStyle w:val="FootnoteReference"/>
          <w:rFonts w:ascii="Times New Roman" w:hAnsi="Times New Roman" w:cs="Times New Roman"/>
        </w:rPr>
        <w:footnoteReference w:id="1"/>
      </w:r>
    </w:p>
    <w:p w14:paraId="33DD9DC2" w14:textId="6C2BA2BA" w:rsidR="00A17E71" w:rsidRPr="00A17E71" w:rsidRDefault="00A17E71" w:rsidP="003A0CBF">
      <w:pPr>
        <w:ind w:firstLine="720"/>
        <w:jc w:val="both"/>
        <w:rPr>
          <w:rFonts w:ascii="Times New Roman" w:hAnsi="Times New Roman" w:cs="Times New Roman"/>
        </w:rPr>
      </w:pPr>
      <w:r w:rsidRPr="00A17E71">
        <w:rPr>
          <w:rFonts w:ascii="Times New Roman" w:hAnsi="Times New Roman" w:cs="Times New Roman"/>
        </w:rPr>
        <w:t>The characteristics of international e-commerce transactions are different from conventional transactions because the parties do not meet in person. The entire transaction process, from offering, ordering, payment, to shipping goods is carried out through electronic media. This condition causes the position of consumers to be more vulnerable to various forms of rights violations, such as fraud, goods that do not meet specifications, delivery delays, misuse of personal data, and difficulty obtaining compensation if business actors are in another country. Differences in legal systems, jurisdictions, and law enforcement mechanisms between countries further complicate efforts to protect consumers in international trade transactions.</w:t>
      </w:r>
      <w:r w:rsidR="00B22F4E">
        <w:rPr>
          <w:rStyle w:val="FootnoteReference"/>
          <w:rFonts w:ascii="Times New Roman" w:hAnsi="Times New Roman" w:cs="Times New Roman"/>
        </w:rPr>
        <w:footnoteReference w:id="2"/>
      </w:r>
    </w:p>
    <w:p w14:paraId="57F9E0A2" w14:textId="6E2D6D28" w:rsidR="00A17E71" w:rsidRPr="00A17E71" w:rsidRDefault="00FB4EE0" w:rsidP="003A0CBF">
      <w:pPr>
        <w:ind w:firstLine="720"/>
        <w:jc w:val="both"/>
        <w:rPr>
          <w:rFonts w:ascii="Times New Roman" w:hAnsi="Times New Roman" w:cs="Times New Roman"/>
        </w:rPr>
      </w:pPr>
      <w:r w:rsidRPr="00FB4EE0">
        <w:rPr>
          <w:rFonts w:ascii="Times New Roman" w:hAnsi="Times New Roman" w:cs="Times New Roman"/>
        </w:rPr>
        <w:t>In Indonesia, consumer protection is regulated in Law Number 8 of 1999 concerning Consumer Protection, while electronic transactions are regulated in Law Number 11 of 2008 concerning Information and Electronic Transactions as last amended by Law Number 1 of 2024. However, the two regulations basically regulate legal relations more at the national level. In e-commerce transactions involving foreign elements, problem resolution does not only depend on national law, but also requires the application of the principles of International Civil Law, such as the determination of the applicable law (choice of law), the determination of the dispute resolution forum (choice of forum), and the recognition of foreign judgments</w:t>
      </w:r>
      <w:r>
        <w:rPr>
          <w:rFonts w:ascii="Times New Roman" w:hAnsi="Times New Roman" w:cs="Times New Roman"/>
        </w:rPr>
        <w:t>.</w:t>
      </w:r>
      <w:r w:rsidR="00B22F4E">
        <w:rPr>
          <w:rStyle w:val="FootnoteReference"/>
          <w:rFonts w:ascii="Times New Roman" w:hAnsi="Times New Roman" w:cs="Times New Roman"/>
        </w:rPr>
        <w:footnoteReference w:id="3"/>
      </w:r>
    </w:p>
    <w:p w14:paraId="4532D638" w14:textId="7CF17733" w:rsidR="00A17E71" w:rsidRPr="00A17E71" w:rsidRDefault="00A17E71" w:rsidP="003A0CBF">
      <w:pPr>
        <w:ind w:firstLine="720"/>
        <w:jc w:val="both"/>
        <w:rPr>
          <w:rFonts w:ascii="Times New Roman" w:hAnsi="Times New Roman" w:cs="Times New Roman"/>
        </w:rPr>
      </w:pPr>
      <w:r w:rsidRPr="00A17E71">
        <w:rPr>
          <w:rFonts w:ascii="Times New Roman" w:hAnsi="Times New Roman" w:cs="Times New Roman"/>
        </w:rPr>
        <w:t>International Civil Law has an important role in providing legal certainty for private legal relationships that contain foreign elements. In international e-commerce transactions, the existence of International Civil Law is the basis for determining the jurisdiction of the courts, the laws applicable to electronic contracts, and dispute resolution mechanisms that provide balanced protection for business actors and consumers. Thus, the success of consumer protection is not only determined by the existence of national regulations, but also influenced by the harmonization of laws between countries and international cooperation in the field of electronic commerce.</w:t>
      </w:r>
      <w:r w:rsidR="00B22F4E">
        <w:rPr>
          <w:rStyle w:val="FootnoteReference"/>
          <w:rFonts w:ascii="Times New Roman" w:hAnsi="Times New Roman" w:cs="Times New Roman"/>
        </w:rPr>
        <w:footnoteReference w:id="4"/>
      </w:r>
    </w:p>
    <w:p w14:paraId="2743A287" w14:textId="3A3A0532" w:rsidR="00A17E71" w:rsidRPr="00A17E71" w:rsidRDefault="00A17E71" w:rsidP="003A0CBF">
      <w:pPr>
        <w:ind w:firstLine="720"/>
        <w:jc w:val="both"/>
        <w:rPr>
          <w:rFonts w:ascii="Times New Roman" w:hAnsi="Times New Roman" w:cs="Times New Roman"/>
        </w:rPr>
      </w:pPr>
      <w:r w:rsidRPr="00A17E71">
        <w:rPr>
          <w:rFonts w:ascii="Times New Roman" w:hAnsi="Times New Roman" w:cs="Times New Roman"/>
        </w:rPr>
        <w:t xml:space="preserve">Based on this description, this study aims to </w:t>
      </w:r>
      <w:proofErr w:type="spellStart"/>
      <w:r w:rsidRPr="00A17E71">
        <w:rPr>
          <w:rFonts w:ascii="Times New Roman" w:hAnsi="Times New Roman" w:cs="Times New Roman"/>
        </w:rPr>
        <w:t>analyze</w:t>
      </w:r>
      <w:proofErr w:type="spellEnd"/>
      <w:r w:rsidRPr="00A17E71">
        <w:rPr>
          <w:rFonts w:ascii="Times New Roman" w:hAnsi="Times New Roman" w:cs="Times New Roman"/>
        </w:rPr>
        <w:t xml:space="preserve"> the form of legal protection for consumers in international trade e-commerce transactions from the perspective of International Civil Law. In addition, this study also examines the dispute resolution mechanism that can be taken by consumers in the event of a violation of rights in cross-border transactions, so that it is expected to contribute to the development of the law, especially in dealing with the development of digital trade in the era of globalization.</w:t>
      </w:r>
      <w:r w:rsidR="00B22F4E">
        <w:rPr>
          <w:rStyle w:val="FootnoteReference"/>
          <w:rFonts w:ascii="Times New Roman" w:hAnsi="Times New Roman" w:cs="Times New Roman"/>
        </w:rPr>
        <w:footnoteReference w:id="5"/>
      </w:r>
    </w:p>
    <w:p w14:paraId="68BEDD46" w14:textId="77777777" w:rsidR="00A17E71" w:rsidRPr="00A17E71" w:rsidRDefault="00A17E71" w:rsidP="003A0CBF">
      <w:pPr>
        <w:jc w:val="both"/>
        <w:rPr>
          <w:rFonts w:ascii="Times New Roman" w:hAnsi="Times New Roman" w:cs="Times New Roman"/>
        </w:rPr>
      </w:pPr>
    </w:p>
    <w:p w14:paraId="48947A55" w14:textId="7308A933" w:rsidR="00A17E71" w:rsidRPr="00A17E71" w:rsidRDefault="00273FD1" w:rsidP="00A17E71">
      <w:pPr>
        <w:rPr>
          <w:rFonts w:ascii="Times New Roman" w:eastAsia="Times New Roman" w:hAnsi="Times New Roman" w:cs="Times New Roman"/>
          <w:b/>
          <w:sz w:val="24"/>
          <w:szCs w:val="24"/>
        </w:rPr>
      </w:pPr>
      <w:r w:rsidRPr="00273FD1">
        <w:rPr>
          <w:rFonts w:ascii="Times New Roman" w:eastAsia="Times New Roman" w:hAnsi="Times New Roman" w:cs="Times New Roman"/>
          <w:b/>
          <w:sz w:val="24"/>
          <w:szCs w:val="24"/>
        </w:rPr>
        <w:t>METHODOLOGY</w:t>
      </w:r>
    </w:p>
    <w:p w14:paraId="7A74D555" w14:textId="626F3711" w:rsidR="00F9144D" w:rsidRPr="00F9144D" w:rsidRDefault="00273FD1" w:rsidP="003A0CBF">
      <w:pPr>
        <w:spacing w:after="0" w:line="240" w:lineRule="auto"/>
        <w:ind w:firstLine="720"/>
        <w:jc w:val="both"/>
        <w:rPr>
          <w:rFonts w:ascii="Times New Roman" w:hAnsi="Times New Roman" w:cs="Times New Roman"/>
        </w:rPr>
      </w:pPr>
      <w:r w:rsidRPr="00273FD1">
        <w:rPr>
          <w:rFonts w:ascii="Times New Roman" w:hAnsi="Times New Roman" w:cs="Times New Roman"/>
        </w:rPr>
        <w:t xml:space="preserve">This research uses normative legal research methods with a statutory approach, a conceptual approach, and a comparative approach. The legal materials used consist of primary legal materials in the form of national laws and regulations as well as relevant international legal instruments, secondary legal materials in the form of books, scientific journals, and previous research results, and tertiary legal materials that support the research, such as legal dictionaries and </w:t>
      </w:r>
      <w:proofErr w:type="spellStart"/>
      <w:r w:rsidRPr="00273FD1">
        <w:rPr>
          <w:rFonts w:ascii="Times New Roman" w:hAnsi="Times New Roman" w:cs="Times New Roman"/>
        </w:rPr>
        <w:t>encyclopedias</w:t>
      </w:r>
      <w:proofErr w:type="spellEnd"/>
      <w:r w:rsidRPr="00273FD1">
        <w:rPr>
          <w:rFonts w:ascii="Times New Roman" w:hAnsi="Times New Roman" w:cs="Times New Roman"/>
        </w:rPr>
        <w:t xml:space="preserve">. The collection of legal materials is carried out through library research, then </w:t>
      </w:r>
      <w:proofErr w:type="spellStart"/>
      <w:r w:rsidRPr="00273FD1">
        <w:rPr>
          <w:rFonts w:ascii="Times New Roman" w:hAnsi="Times New Roman" w:cs="Times New Roman"/>
        </w:rPr>
        <w:t>analyzed</w:t>
      </w:r>
      <w:proofErr w:type="spellEnd"/>
      <w:r w:rsidRPr="00273FD1">
        <w:rPr>
          <w:rFonts w:ascii="Times New Roman" w:hAnsi="Times New Roman" w:cs="Times New Roman"/>
        </w:rPr>
        <w:t xml:space="preserve"> qualitatively using deductive analysis techniques to draw conclusions regarding consumer protection in international trade e-commerce transactions reviewed from the perspective of International Civil Law.</w:t>
      </w:r>
    </w:p>
    <w:p w14:paraId="109C70C8" w14:textId="77777777" w:rsidR="00A17E71" w:rsidRDefault="00A17E71" w:rsidP="00FE34A1">
      <w:pPr>
        <w:spacing w:after="0" w:line="240" w:lineRule="auto"/>
        <w:rPr>
          <w:rFonts w:ascii="Times New Roman" w:eastAsia="Times New Roman" w:hAnsi="Times New Roman" w:cs="Times New Roman"/>
          <w:b/>
          <w:sz w:val="24"/>
          <w:szCs w:val="24"/>
        </w:rPr>
      </w:pPr>
    </w:p>
    <w:p w14:paraId="005D8F64" w14:textId="27EA3E99" w:rsidR="00F9144D" w:rsidRPr="00B22F4E" w:rsidRDefault="0009793C" w:rsidP="00B22F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RESULTS AND DISCUSSION</w:t>
      </w:r>
    </w:p>
    <w:p w14:paraId="570C01D9" w14:textId="77777777" w:rsidR="00A17E71" w:rsidRDefault="00A17E71" w:rsidP="00A17E71">
      <w:pPr>
        <w:spacing w:after="0" w:line="240" w:lineRule="auto"/>
        <w:rPr>
          <w:rFonts w:ascii="Times New Roman" w:hAnsi="Times New Roman" w:cs="Times New Roman"/>
          <w:b/>
          <w:bCs/>
          <w:i/>
          <w:iCs/>
        </w:rPr>
      </w:pPr>
      <w:r w:rsidRPr="00B22F4E">
        <w:rPr>
          <w:rFonts w:ascii="Times New Roman" w:hAnsi="Times New Roman" w:cs="Times New Roman"/>
          <w:b/>
          <w:bCs/>
          <w:i/>
          <w:iCs/>
        </w:rPr>
        <w:t>A. Consumer Legal Protection in International Trade E-Commerce Transactions International Civil Law Perspective</w:t>
      </w:r>
    </w:p>
    <w:p w14:paraId="77A8E6A0" w14:textId="77777777" w:rsidR="00BC3C53" w:rsidRPr="00B22F4E" w:rsidRDefault="00BC3C53" w:rsidP="00A17E71">
      <w:pPr>
        <w:spacing w:after="0" w:line="240" w:lineRule="auto"/>
        <w:rPr>
          <w:rFonts w:ascii="Times New Roman" w:hAnsi="Times New Roman" w:cs="Times New Roman"/>
          <w:b/>
          <w:bCs/>
          <w:i/>
          <w:iCs/>
        </w:rPr>
      </w:pPr>
    </w:p>
    <w:p w14:paraId="7AEB4A78" w14:textId="470EA423" w:rsidR="00A17E71" w:rsidRDefault="00BC3C53" w:rsidP="00BC3C53">
      <w:pPr>
        <w:spacing w:after="0" w:line="240" w:lineRule="auto"/>
        <w:ind w:firstLine="720"/>
        <w:jc w:val="both"/>
        <w:rPr>
          <w:rFonts w:ascii="Times New Roman" w:hAnsi="Times New Roman" w:cs="Times New Roman"/>
        </w:rPr>
      </w:pPr>
      <w:r w:rsidRPr="00BC3C53">
        <w:rPr>
          <w:rFonts w:ascii="Times New Roman" w:hAnsi="Times New Roman" w:cs="Times New Roman"/>
        </w:rPr>
        <w:t>The development of information technology has brought about very significant changes to international trade patterns. The presence of the internet allows buying and selling transactions to be carried out regardless of the country's territorial boundaries, so that business actors and consumers can conduct legal relations electronically even though they are in different jurisdictions. This phenomenon is known as electronic commerce (e-commerce) transactions which are one of the forms of modern international trade. The convenience offered by e-commerce not only increases transaction efficiency, but also raises various legal issues, especially related to the protection of consumers who conduct cross-border transactions.</w:t>
      </w:r>
    </w:p>
    <w:p w14:paraId="0E277567" w14:textId="77777777" w:rsidR="00BC3C53" w:rsidRPr="00A17E71" w:rsidRDefault="00BC3C53" w:rsidP="00BC3C53">
      <w:pPr>
        <w:spacing w:after="0" w:line="240" w:lineRule="auto"/>
        <w:ind w:firstLine="720"/>
        <w:jc w:val="both"/>
        <w:rPr>
          <w:rFonts w:ascii="Times New Roman" w:hAnsi="Times New Roman" w:cs="Times New Roman"/>
        </w:rPr>
      </w:pPr>
    </w:p>
    <w:p w14:paraId="2F94D8ED" w14:textId="1A0EBA94" w:rsidR="00A17E71" w:rsidRPr="00A17E71" w:rsidRDefault="00BC3C53" w:rsidP="003A0CBF">
      <w:pPr>
        <w:spacing w:after="0" w:line="240" w:lineRule="auto"/>
        <w:ind w:firstLine="720"/>
        <w:jc w:val="both"/>
        <w:rPr>
          <w:rFonts w:ascii="Times New Roman" w:hAnsi="Times New Roman" w:cs="Times New Roman"/>
        </w:rPr>
      </w:pPr>
      <w:r w:rsidRPr="00BC3C53">
        <w:rPr>
          <w:rFonts w:ascii="Times New Roman" w:hAnsi="Times New Roman" w:cs="Times New Roman"/>
        </w:rPr>
        <w:t>From the perspective of International Civil Law (HPI), international e-commerce transactions are civil law relationships that contain foreign elements. These foreign elements can be in the form of the nationality of different parties, the place of execution of the contract located in another country, the location of the service provider's server, or the object of the transaction sent across national borders. The existence of these foreign elements causes the resolution of disputes not only to refer to the national law of a country, but also to pay attention to the rules of International Civil Law regarding the determination of applicable law (choice of law) and the determination of the authorized forum (choice of forum).</w:t>
      </w:r>
      <w:r w:rsidR="00B22F4E">
        <w:rPr>
          <w:rStyle w:val="FootnoteReference"/>
          <w:rFonts w:ascii="Times New Roman" w:hAnsi="Times New Roman" w:cs="Times New Roman"/>
        </w:rPr>
        <w:footnoteReference w:id="6"/>
      </w:r>
    </w:p>
    <w:p w14:paraId="7C52D555" w14:textId="77777777" w:rsidR="00A17E71" w:rsidRPr="00A17E71" w:rsidRDefault="00A17E71" w:rsidP="003A0CBF">
      <w:pPr>
        <w:spacing w:after="0" w:line="240" w:lineRule="auto"/>
        <w:jc w:val="both"/>
        <w:rPr>
          <w:rFonts w:ascii="Times New Roman" w:hAnsi="Times New Roman" w:cs="Times New Roman"/>
        </w:rPr>
      </w:pPr>
    </w:p>
    <w:p w14:paraId="76AD6755" w14:textId="2C72E499" w:rsidR="00A17E71" w:rsidRDefault="00BC3C53" w:rsidP="00BC3C53">
      <w:pPr>
        <w:spacing w:after="0" w:line="240" w:lineRule="auto"/>
        <w:ind w:firstLine="720"/>
        <w:jc w:val="both"/>
        <w:rPr>
          <w:rFonts w:ascii="Times New Roman" w:hAnsi="Times New Roman" w:cs="Times New Roman"/>
        </w:rPr>
      </w:pPr>
      <w:r w:rsidRPr="00BC3C53">
        <w:rPr>
          <w:rFonts w:ascii="Times New Roman" w:hAnsi="Times New Roman" w:cs="Times New Roman"/>
        </w:rPr>
        <w:t>Indonesia has provided protection for consumers through Law Number 8 of 1999 concerning Consumer Protection. The law provides guarantees for consumers' rights to obtain comfort, security, safety, correct information, and obtain compensation if they suffer losses due to the use of goods or services. However, the application of these provisions becomes more complex when transactions are carried out with business actors outside the territory of Indonesia. In such conditions, the question arises about which country law should be applied and which institution is authorized to resolve disputes in the event of a violation of consumer rights.</w:t>
      </w:r>
    </w:p>
    <w:p w14:paraId="2C433169" w14:textId="77777777" w:rsidR="00BC3C53" w:rsidRPr="00A17E71" w:rsidRDefault="00BC3C53" w:rsidP="00BC3C53">
      <w:pPr>
        <w:spacing w:after="0" w:line="240" w:lineRule="auto"/>
        <w:ind w:firstLine="720"/>
        <w:jc w:val="both"/>
        <w:rPr>
          <w:rFonts w:ascii="Times New Roman" w:hAnsi="Times New Roman" w:cs="Times New Roman"/>
        </w:rPr>
      </w:pPr>
    </w:p>
    <w:p w14:paraId="518EA09D" w14:textId="39BDC379" w:rsidR="00A17E71" w:rsidRDefault="008E03A2" w:rsidP="008E03A2">
      <w:pPr>
        <w:spacing w:after="0" w:line="240" w:lineRule="auto"/>
        <w:ind w:firstLine="720"/>
        <w:jc w:val="both"/>
        <w:rPr>
          <w:rFonts w:ascii="Times New Roman" w:hAnsi="Times New Roman" w:cs="Times New Roman"/>
        </w:rPr>
      </w:pPr>
      <w:r w:rsidRPr="008E03A2">
        <w:rPr>
          <w:rFonts w:ascii="Times New Roman" w:hAnsi="Times New Roman" w:cs="Times New Roman"/>
        </w:rPr>
        <w:t>The characteristics of e-commerce transactions are different from conventional transactions because the parties do not meet in person. The entire process from offering, ordering, payment to delivery is carried out through electronic media. This situation increases the risk of violations of consumer rights, such as fraud, goods not in accordance with specifications, misuse of personal data, delay in delivery, and failure to perform contracts. In international trade practices, these risks are even greater due to differences in legal systems, languages, cultures, and law enforcement mechanisms in each country</w:t>
      </w:r>
      <w:r w:rsidR="00A17E71" w:rsidRPr="00A17E71">
        <w:rPr>
          <w:rFonts w:ascii="Times New Roman" w:hAnsi="Times New Roman" w:cs="Times New Roman"/>
        </w:rPr>
        <w:t>.</w:t>
      </w:r>
      <w:r w:rsidR="009D1874">
        <w:rPr>
          <w:rStyle w:val="FootnoteReference"/>
          <w:rFonts w:ascii="Times New Roman" w:hAnsi="Times New Roman" w:cs="Times New Roman"/>
        </w:rPr>
        <w:footnoteReference w:id="7"/>
      </w:r>
      <w:r>
        <w:rPr>
          <w:rFonts w:ascii="Times New Roman" w:hAnsi="Times New Roman" w:cs="Times New Roman"/>
        </w:rPr>
        <w:t>,</w:t>
      </w:r>
      <w:r w:rsidR="009D1874">
        <w:rPr>
          <w:rStyle w:val="FootnoteReference"/>
          <w:rFonts w:ascii="Times New Roman" w:hAnsi="Times New Roman" w:cs="Times New Roman"/>
        </w:rPr>
        <w:footnoteReference w:id="8"/>
      </w:r>
    </w:p>
    <w:p w14:paraId="7B8FA690" w14:textId="77777777" w:rsidR="008E03A2" w:rsidRPr="00A17E71" w:rsidRDefault="008E03A2" w:rsidP="008E03A2">
      <w:pPr>
        <w:spacing w:after="0" w:line="240" w:lineRule="auto"/>
        <w:ind w:firstLine="720"/>
        <w:jc w:val="both"/>
        <w:rPr>
          <w:rFonts w:ascii="Times New Roman" w:hAnsi="Times New Roman" w:cs="Times New Roman"/>
        </w:rPr>
      </w:pPr>
    </w:p>
    <w:p w14:paraId="3F6904C6" w14:textId="1CB59D4F" w:rsidR="00D41172" w:rsidRDefault="008E03A2" w:rsidP="008E03A2">
      <w:pPr>
        <w:spacing w:after="0" w:line="240" w:lineRule="auto"/>
        <w:ind w:firstLine="720"/>
        <w:jc w:val="both"/>
        <w:rPr>
          <w:rFonts w:ascii="Times New Roman" w:hAnsi="Times New Roman" w:cs="Times New Roman"/>
        </w:rPr>
      </w:pPr>
      <w:r w:rsidRPr="008E03A2">
        <w:rPr>
          <w:rFonts w:ascii="Times New Roman" w:hAnsi="Times New Roman" w:cs="Times New Roman"/>
        </w:rPr>
        <w:t>In International Civil Law, the principle of choice of law is known which gives the parties the freedom to determine the law that will govern their contracts. This principle is the embodiment of the principle of freedom of contract as it is known in civil law. Through the choice of law clause, business actors and consumers can determine whether their contracts are subject to Indonesian law, the laws of the business actor's country, or the laws of other mutually agreed countries. However, such freedom is not absolute. The choice of law must not be contrary to public policy and must not eliminate the minimum protection that consumers should obtain as parties who have a weaker position in the contractual relationship.</w:t>
      </w:r>
    </w:p>
    <w:p w14:paraId="0CA97FF9" w14:textId="77777777" w:rsidR="008E03A2" w:rsidRPr="00A17E71" w:rsidRDefault="008E03A2" w:rsidP="008E03A2">
      <w:pPr>
        <w:spacing w:after="0" w:line="240" w:lineRule="auto"/>
        <w:ind w:firstLine="720"/>
        <w:jc w:val="both"/>
        <w:rPr>
          <w:rFonts w:ascii="Times New Roman" w:hAnsi="Times New Roman" w:cs="Times New Roman"/>
        </w:rPr>
      </w:pPr>
    </w:p>
    <w:p w14:paraId="31EEF2D2" w14:textId="137A89D3" w:rsidR="00A17E71" w:rsidRDefault="008E03A2" w:rsidP="003A0CBF">
      <w:pPr>
        <w:spacing w:after="0" w:line="240" w:lineRule="auto"/>
        <w:ind w:firstLine="720"/>
        <w:jc w:val="both"/>
        <w:rPr>
          <w:rFonts w:ascii="Times New Roman" w:hAnsi="Times New Roman" w:cs="Times New Roman"/>
        </w:rPr>
      </w:pPr>
      <w:r w:rsidRPr="008E03A2">
        <w:rPr>
          <w:rFonts w:ascii="Times New Roman" w:hAnsi="Times New Roman" w:cs="Times New Roman"/>
        </w:rPr>
        <w:t>In addition to legal choice, International Civil Law also recognizes the principle of choice of forum. This principle gives the parties the authority to determine the institution or court that will resolve the dispute in the event of default or unlawful acts. In international e-commerce practice, forum choice clauses are often included in the terms and conditions of use. However, the existence of such clauses often puts consumers at a disadvantage because dispute resolution must be carried out in the country where the business actor is domiciled, so it requires greater costs, time, and legal capabilities.</w:t>
      </w:r>
      <w:r w:rsidR="009D1874">
        <w:rPr>
          <w:rStyle w:val="FootnoteReference"/>
          <w:rFonts w:ascii="Times New Roman" w:hAnsi="Times New Roman" w:cs="Times New Roman"/>
        </w:rPr>
        <w:footnoteReference w:id="9"/>
      </w:r>
    </w:p>
    <w:p w14:paraId="350B7BD1" w14:textId="77777777" w:rsidR="008E03A2" w:rsidRDefault="008E03A2" w:rsidP="003A0CBF">
      <w:pPr>
        <w:spacing w:after="0" w:line="240" w:lineRule="auto"/>
        <w:ind w:firstLine="720"/>
        <w:jc w:val="both"/>
        <w:rPr>
          <w:rFonts w:ascii="Times New Roman" w:hAnsi="Times New Roman" w:cs="Times New Roman"/>
        </w:rPr>
      </w:pPr>
    </w:p>
    <w:p w14:paraId="6DAC7FE6" w14:textId="0AE7FD98" w:rsidR="008E03A2" w:rsidRPr="00A17E71" w:rsidRDefault="008E03A2" w:rsidP="003A0CBF">
      <w:pPr>
        <w:spacing w:after="0" w:line="240" w:lineRule="auto"/>
        <w:ind w:firstLine="720"/>
        <w:jc w:val="both"/>
        <w:rPr>
          <w:rFonts w:ascii="Times New Roman" w:hAnsi="Times New Roman" w:cs="Times New Roman"/>
        </w:rPr>
      </w:pPr>
      <w:r w:rsidRPr="008E03A2">
        <w:rPr>
          <w:rFonts w:ascii="Times New Roman" w:hAnsi="Times New Roman" w:cs="Times New Roman"/>
        </w:rPr>
        <w:t>As a comparative illustration, the European Union limits the parties' freedom to choose an applicable law that would deprive the consumer of the mandatory protections of their home jurisdiction, as reflected in the Rome I Regulation. This approach demonstrates that International Civil Law can be structured to actively protect the weaker party rather than merely provide neutral conflict-of-law rules, an orientation that Indonesian regulations on cross-border e-commerce have not yet adopted.</w:t>
      </w:r>
    </w:p>
    <w:p w14:paraId="36E6213B" w14:textId="77777777" w:rsidR="00A17E71" w:rsidRPr="00A17E71" w:rsidRDefault="00A17E71" w:rsidP="003A0CBF">
      <w:pPr>
        <w:spacing w:after="0" w:line="240" w:lineRule="auto"/>
        <w:jc w:val="both"/>
        <w:rPr>
          <w:rFonts w:ascii="Times New Roman" w:hAnsi="Times New Roman" w:cs="Times New Roman"/>
        </w:rPr>
      </w:pPr>
    </w:p>
    <w:p w14:paraId="35959E17" w14:textId="0F857A24" w:rsidR="00A17E71" w:rsidRPr="00A17E71" w:rsidRDefault="008E03A2" w:rsidP="003A0CBF">
      <w:pPr>
        <w:spacing w:after="0" w:line="240" w:lineRule="auto"/>
        <w:ind w:firstLine="720"/>
        <w:jc w:val="both"/>
        <w:rPr>
          <w:rFonts w:ascii="Times New Roman" w:hAnsi="Times New Roman" w:cs="Times New Roman"/>
        </w:rPr>
      </w:pPr>
      <w:r w:rsidRPr="008E03A2">
        <w:rPr>
          <w:rFonts w:ascii="Times New Roman" w:hAnsi="Times New Roman" w:cs="Times New Roman"/>
        </w:rPr>
        <w:t>The development of electronic commerce has also encouraged the birth of various international legal instruments. One of them is the UNCITRAL Model Law on Electronic Commerce 1996 which provides guidelines on the recognition of electronic documents, electronic signatures, and the validity of electronic contracts. Although it is not a binding international agreement, this provision has become a reference for many countries in forming national regulations regarding electronic transactions, including Indonesia through Law Number 11 of 2008 concerning Information and Electronic Transactions as amended by Law Number 1 of 2024</w:t>
      </w:r>
      <w:r>
        <w:rPr>
          <w:rFonts w:ascii="Times New Roman" w:hAnsi="Times New Roman" w:cs="Times New Roman"/>
        </w:rPr>
        <w:t>.</w:t>
      </w:r>
      <w:r w:rsidR="009D1874">
        <w:rPr>
          <w:rStyle w:val="FootnoteReference"/>
          <w:rFonts w:ascii="Times New Roman" w:hAnsi="Times New Roman" w:cs="Times New Roman"/>
        </w:rPr>
        <w:footnoteReference w:id="10"/>
      </w:r>
    </w:p>
    <w:p w14:paraId="47DEA109" w14:textId="77777777" w:rsidR="00A17E71" w:rsidRPr="00A17E71" w:rsidRDefault="00A17E71" w:rsidP="003A0CBF">
      <w:pPr>
        <w:spacing w:after="0" w:line="240" w:lineRule="auto"/>
        <w:jc w:val="both"/>
        <w:rPr>
          <w:rFonts w:ascii="Times New Roman" w:hAnsi="Times New Roman" w:cs="Times New Roman"/>
        </w:rPr>
      </w:pPr>
    </w:p>
    <w:p w14:paraId="42D4B774" w14:textId="79871A95" w:rsidR="00A17E71" w:rsidRPr="00A17E71" w:rsidRDefault="008E03A2" w:rsidP="003A0CBF">
      <w:pPr>
        <w:spacing w:after="0" w:line="240" w:lineRule="auto"/>
        <w:ind w:firstLine="720"/>
        <w:jc w:val="both"/>
        <w:rPr>
          <w:rFonts w:ascii="Times New Roman" w:hAnsi="Times New Roman" w:cs="Times New Roman"/>
        </w:rPr>
      </w:pPr>
      <w:r w:rsidRPr="008E03A2">
        <w:rPr>
          <w:rFonts w:ascii="Times New Roman" w:hAnsi="Times New Roman" w:cs="Times New Roman"/>
        </w:rPr>
        <w:t>In international trade practices, consumer protection is also influenced by the principle of good faith which requires each party to carry out its rights and obligations honestly, openly, and responsibly. Business actors are required to provide correct information regarding the identity, quality of goods, prices, payment methods, shipping costs, and return mechanisms. Instead, consumers are obliged to make payments according to the agreement and use the product as intended. The application of the principle of good faith is the basis for the creation of legal certainty in cross-border contractual relationships.</w:t>
      </w:r>
      <w:r w:rsidR="009D1874">
        <w:rPr>
          <w:rStyle w:val="FootnoteReference"/>
          <w:rFonts w:ascii="Times New Roman" w:hAnsi="Times New Roman" w:cs="Times New Roman"/>
        </w:rPr>
        <w:footnoteReference w:id="11"/>
      </w:r>
    </w:p>
    <w:p w14:paraId="758EA72B" w14:textId="77777777" w:rsidR="00A17E71" w:rsidRPr="00A17E71" w:rsidRDefault="00A17E71" w:rsidP="003A0CBF">
      <w:pPr>
        <w:spacing w:after="0" w:line="240" w:lineRule="auto"/>
        <w:jc w:val="both"/>
        <w:rPr>
          <w:rFonts w:ascii="Times New Roman" w:hAnsi="Times New Roman" w:cs="Times New Roman"/>
        </w:rPr>
      </w:pPr>
    </w:p>
    <w:p w14:paraId="7CB00824" w14:textId="55CBDDAD" w:rsidR="00A17E71" w:rsidRPr="00A17E71" w:rsidRDefault="008E03A2" w:rsidP="003A0CBF">
      <w:pPr>
        <w:spacing w:after="0" w:line="240" w:lineRule="auto"/>
        <w:ind w:firstLine="720"/>
        <w:jc w:val="both"/>
        <w:rPr>
          <w:rFonts w:ascii="Times New Roman" w:hAnsi="Times New Roman" w:cs="Times New Roman"/>
        </w:rPr>
      </w:pPr>
      <w:r w:rsidRPr="008E03A2">
        <w:rPr>
          <w:rFonts w:ascii="Times New Roman" w:hAnsi="Times New Roman" w:cs="Times New Roman"/>
        </w:rPr>
        <w:t>Although various national and international legal instruments are available, consumer protection in international e-commerce transactions still faces various obstacles. Differences in legal systems between countries that adhere to civil and common law, differences in electronic evidentiary mechanisms, and limited implementation of foreign court decisions are challenges in themselves. It is not uncommon for consumers to have difficulty obtaining compensation because business actors are in other countries that have different rules regarding contractual responsibility and consumer protection</w:t>
      </w:r>
      <w:r w:rsidR="00A17E71" w:rsidRPr="00A17E71">
        <w:rPr>
          <w:rFonts w:ascii="Times New Roman" w:hAnsi="Times New Roman" w:cs="Times New Roman"/>
        </w:rPr>
        <w:t>.</w:t>
      </w:r>
      <w:r w:rsidR="009D1874">
        <w:rPr>
          <w:rStyle w:val="FootnoteReference"/>
          <w:rFonts w:ascii="Times New Roman" w:hAnsi="Times New Roman" w:cs="Times New Roman"/>
        </w:rPr>
        <w:footnoteReference w:id="12"/>
      </w:r>
    </w:p>
    <w:p w14:paraId="08354019" w14:textId="77777777" w:rsidR="00A17E71" w:rsidRPr="00A17E71" w:rsidRDefault="00A17E71" w:rsidP="003A0CBF">
      <w:pPr>
        <w:spacing w:after="0" w:line="240" w:lineRule="auto"/>
        <w:jc w:val="both"/>
        <w:rPr>
          <w:rFonts w:ascii="Times New Roman" w:hAnsi="Times New Roman" w:cs="Times New Roman"/>
        </w:rPr>
      </w:pPr>
    </w:p>
    <w:p w14:paraId="7DE8ABA9" w14:textId="4000CB61" w:rsidR="00A17E71" w:rsidRPr="00A17E71" w:rsidRDefault="008E03A2" w:rsidP="003A0CBF">
      <w:pPr>
        <w:spacing w:after="0" w:line="240" w:lineRule="auto"/>
        <w:ind w:firstLine="720"/>
        <w:jc w:val="both"/>
        <w:rPr>
          <w:rFonts w:ascii="Times New Roman" w:hAnsi="Times New Roman" w:cs="Times New Roman"/>
        </w:rPr>
      </w:pPr>
      <w:r w:rsidRPr="008E03A2">
        <w:rPr>
          <w:rFonts w:ascii="Times New Roman" w:hAnsi="Times New Roman" w:cs="Times New Roman"/>
        </w:rPr>
        <w:t>According to the author, the gaps identified above namely the national orientation of Law Number 8 of 1999 and Law Number 1 of 2024, and the imbalance created by unilateral choice-of-forum clauses</w:t>
      </w:r>
      <w:r>
        <w:rPr>
          <w:rFonts w:ascii="Times New Roman" w:hAnsi="Times New Roman" w:cs="Times New Roman"/>
        </w:rPr>
        <w:t xml:space="preserve"> </w:t>
      </w:r>
      <w:r w:rsidRPr="008E03A2">
        <w:rPr>
          <w:rFonts w:ascii="Times New Roman" w:hAnsi="Times New Roman" w:cs="Times New Roman"/>
        </w:rPr>
        <w:t>show that consumer protection in international trade e-commerce transactions is not enough to rely solely on the provisions of national law. It is necessary to harmonize the rule of law between countries, increase international cooperation, and strengthen the principles of International Civil Law so that consumer rights remain protected without hindering the development of digital trade. In addition, the Indonesian government needs to continue to improve regulations regarding electronic transactions, personal data protection, and cross-border dispute resolution so that it can provide legal certainty for people who are increasingly active in transacting through international digital platforms</w:t>
      </w:r>
      <w:r w:rsidR="00A17E71" w:rsidRPr="00A17E71">
        <w:rPr>
          <w:rFonts w:ascii="Times New Roman" w:hAnsi="Times New Roman" w:cs="Times New Roman"/>
        </w:rPr>
        <w:t>.</w:t>
      </w:r>
      <w:r w:rsidR="009D1874">
        <w:rPr>
          <w:rStyle w:val="FootnoteReference"/>
          <w:rFonts w:ascii="Times New Roman" w:hAnsi="Times New Roman" w:cs="Times New Roman"/>
        </w:rPr>
        <w:footnoteReference w:id="13"/>
      </w:r>
    </w:p>
    <w:p w14:paraId="620E7584" w14:textId="77777777" w:rsidR="00A17E71" w:rsidRPr="00A17E71" w:rsidRDefault="00A17E71" w:rsidP="003A0CBF">
      <w:pPr>
        <w:spacing w:after="0" w:line="240" w:lineRule="auto"/>
        <w:jc w:val="both"/>
        <w:rPr>
          <w:rFonts w:ascii="Times New Roman" w:hAnsi="Times New Roman" w:cs="Times New Roman"/>
        </w:rPr>
      </w:pPr>
    </w:p>
    <w:p w14:paraId="4F140CB5" w14:textId="77777777" w:rsidR="00B22F4E" w:rsidRPr="00B22F4E" w:rsidRDefault="00B22F4E" w:rsidP="003A0CBF">
      <w:pPr>
        <w:spacing w:after="0" w:line="240" w:lineRule="auto"/>
        <w:jc w:val="both"/>
        <w:rPr>
          <w:rFonts w:ascii="Times New Roman" w:hAnsi="Times New Roman" w:cs="Times New Roman"/>
          <w:b/>
          <w:bCs/>
          <w:i/>
          <w:iCs/>
        </w:rPr>
      </w:pPr>
      <w:r w:rsidRPr="00B22F4E">
        <w:rPr>
          <w:rFonts w:ascii="Times New Roman" w:hAnsi="Times New Roman" w:cs="Times New Roman"/>
          <w:b/>
          <w:bCs/>
          <w:i/>
          <w:iCs/>
        </w:rPr>
        <w:t>B. Consumer Dispute Resolution in International Trade E-Commerce Transactions International Civil Law Perspective</w:t>
      </w:r>
    </w:p>
    <w:p w14:paraId="424376D8" w14:textId="4BE140E3" w:rsidR="00B22F4E" w:rsidRPr="00B22F4E" w:rsidRDefault="001404F8" w:rsidP="003A0CBF">
      <w:pPr>
        <w:spacing w:after="0" w:line="240" w:lineRule="auto"/>
        <w:ind w:firstLine="720"/>
        <w:jc w:val="both"/>
        <w:rPr>
          <w:rFonts w:ascii="Times New Roman" w:hAnsi="Times New Roman" w:cs="Times New Roman"/>
        </w:rPr>
      </w:pPr>
      <w:r w:rsidRPr="001404F8">
        <w:rPr>
          <w:rFonts w:ascii="Times New Roman" w:hAnsi="Times New Roman" w:cs="Times New Roman"/>
        </w:rPr>
        <w:t>The development of e-commerce transactions in international trade has consequences in the form of increasing potential disputes between business actors and consumers. Disputes can arise due to various factors, such as defaults, delivery of goods that do not meet specifications, delay in delivery, failure to pay, misuse of personal data, and fraud in electronic transactions. In contrast to domestic trade disputes, international e-commerce disputes have special characteristics because they involve parties from different jurisdictions of countries. Therefore, the settlement is not only subject to national law, but also to the principles of International Civil Law</w:t>
      </w:r>
      <w:r w:rsidR="00B22F4E" w:rsidRPr="00B22F4E">
        <w:rPr>
          <w:rFonts w:ascii="Times New Roman" w:hAnsi="Times New Roman" w:cs="Times New Roman"/>
        </w:rPr>
        <w:t>.</w:t>
      </w:r>
      <w:r w:rsidR="009D1874">
        <w:rPr>
          <w:rStyle w:val="FootnoteReference"/>
          <w:rFonts w:ascii="Times New Roman" w:hAnsi="Times New Roman" w:cs="Times New Roman"/>
        </w:rPr>
        <w:footnoteReference w:id="14"/>
      </w:r>
    </w:p>
    <w:p w14:paraId="31331197" w14:textId="77777777" w:rsidR="00B22F4E" w:rsidRPr="00B22F4E" w:rsidRDefault="00B22F4E" w:rsidP="003A0CBF">
      <w:pPr>
        <w:spacing w:after="0" w:line="240" w:lineRule="auto"/>
        <w:jc w:val="both"/>
        <w:rPr>
          <w:rFonts w:ascii="Times New Roman" w:hAnsi="Times New Roman" w:cs="Times New Roman"/>
        </w:rPr>
      </w:pPr>
    </w:p>
    <w:p w14:paraId="0F368E86" w14:textId="5B4D2019" w:rsidR="00B22F4E" w:rsidRPr="00B22F4E" w:rsidRDefault="001404F8" w:rsidP="003A0CBF">
      <w:pPr>
        <w:spacing w:after="0" w:line="240" w:lineRule="auto"/>
        <w:ind w:firstLine="720"/>
        <w:jc w:val="both"/>
        <w:rPr>
          <w:rFonts w:ascii="Times New Roman" w:hAnsi="Times New Roman" w:cs="Times New Roman"/>
        </w:rPr>
      </w:pPr>
      <w:r w:rsidRPr="001404F8">
        <w:rPr>
          <w:rFonts w:ascii="Times New Roman" w:hAnsi="Times New Roman" w:cs="Times New Roman"/>
        </w:rPr>
        <w:t>One of the main issues in the resolution of cross-border disputes is determining the forum that is authorized to examine and adjudicate cases. In International Civil Law, the issue is known as a jurisdictional issue. The determination of jurisdiction is very important because each country has the authority to adjudicate different cases according to its legal system. If the electronic contract contains a choice of forum clause, then in principle the parties are bound to resolve the dispute at the agreed forum. However, in the relationship between business actors and consumers, the clause should not</w:t>
      </w:r>
      <w:r>
        <w:rPr>
          <w:rFonts w:ascii="Times New Roman" w:hAnsi="Times New Roman" w:cs="Times New Roman"/>
        </w:rPr>
        <w:t xml:space="preserve"> </w:t>
      </w:r>
      <w:r w:rsidRPr="001404F8">
        <w:rPr>
          <w:rFonts w:ascii="Times New Roman" w:hAnsi="Times New Roman" w:cs="Times New Roman"/>
        </w:rPr>
        <w:t>eliminate the basic rights of consumers as weaker parties in the contractual relationship.</w:t>
      </w:r>
      <w:r w:rsidR="009D1874">
        <w:rPr>
          <w:rStyle w:val="FootnoteReference"/>
          <w:rFonts w:ascii="Times New Roman" w:hAnsi="Times New Roman" w:cs="Times New Roman"/>
        </w:rPr>
        <w:footnoteReference w:id="15"/>
      </w:r>
    </w:p>
    <w:p w14:paraId="3B0654CA" w14:textId="77777777" w:rsidR="00B22F4E" w:rsidRPr="00B22F4E" w:rsidRDefault="00B22F4E" w:rsidP="003A0CBF">
      <w:pPr>
        <w:spacing w:after="0" w:line="240" w:lineRule="auto"/>
        <w:jc w:val="both"/>
        <w:rPr>
          <w:rFonts w:ascii="Times New Roman" w:hAnsi="Times New Roman" w:cs="Times New Roman"/>
        </w:rPr>
      </w:pPr>
    </w:p>
    <w:p w14:paraId="10CE4DF3" w14:textId="36A9A2FC" w:rsidR="00B22F4E" w:rsidRDefault="001404F8" w:rsidP="001404F8">
      <w:pPr>
        <w:spacing w:after="0" w:line="240" w:lineRule="auto"/>
        <w:ind w:firstLine="720"/>
        <w:jc w:val="both"/>
        <w:rPr>
          <w:rFonts w:ascii="Times New Roman" w:hAnsi="Times New Roman" w:cs="Times New Roman"/>
        </w:rPr>
      </w:pPr>
      <w:r w:rsidRPr="001404F8">
        <w:rPr>
          <w:rFonts w:ascii="Times New Roman" w:hAnsi="Times New Roman" w:cs="Times New Roman"/>
        </w:rPr>
        <w:t>In addition to determining the forum, International Civil Law also regulates the choice of law. In international e-commerce practice, electronic contracts generally have defined the laws that apply to the relationship of the parties. This legal determination aims to provide legal certainty in the event of a dispute. However, the application of legal options must still pay attention to the principles of justice, public policy, and consumer protection so that there is no abuse of dominant position by business actors.</w:t>
      </w:r>
      <w:r w:rsidR="009D1874">
        <w:rPr>
          <w:rStyle w:val="FootnoteReference"/>
          <w:rFonts w:ascii="Times New Roman" w:hAnsi="Times New Roman" w:cs="Times New Roman"/>
        </w:rPr>
        <w:footnoteReference w:id="16"/>
      </w:r>
    </w:p>
    <w:p w14:paraId="049CCDE4" w14:textId="77777777" w:rsidR="001404F8" w:rsidRPr="00B22F4E" w:rsidRDefault="001404F8" w:rsidP="001404F8">
      <w:pPr>
        <w:spacing w:after="0" w:line="240" w:lineRule="auto"/>
        <w:ind w:firstLine="720"/>
        <w:jc w:val="both"/>
        <w:rPr>
          <w:rFonts w:ascii="Times New Roman" w:hAnsi="Times New Roman" w:cs="Times New Roman"/>
        </w:rPr>
      </w:pPr>
    </w:p>
    <w:p w14:paraId="55912909" w14:textId="3C11C40D" w:rsidR="00B22F4E" w:rsidRDefault="001404F8" w:rsidP="003A0CBF">
      <w:pPr>
        <w:spacing w:after="0" w:line="240" w:lineRule="auto"/>
        <w:ind w:firstLine="720"/>
        <w:jc w:val="both"/>
        <w:rPr>
          <w:rFonts w:ascii="Times New Roman" w:hAnsi="Times New Roman" w:cs="Times New Roman"/>
        </w:rPr>
      </w:pPr>
      <w:r w:rsidRPr="001404F8">
        <w:rPr>
          <w:rFonts w:ascii="Times New Roman" w:hAnsi="Times New Roman" w:cs="Times New Roman"/>
        </w:rPr>
        <w:t>In practice, consumer dispute resolution can be pursued through two paths, namely litigation and non-litigation. Settlement through litigation is carried out through the court that has jurisdiction over the dispute. Although it provides legal certainty through a judge's decision, settlement through the courts often takes a long time, costs a lot, and faces obstacles in the recognition and implementation of the judgment if the losing party is in another country. Therefore, in international trade transactions, business actors prefer the dispute resolution mechanism outside the court</w:t>
      </w:r>
      <w:r w:rsidR="00B22F4E" w:rsidRPr="00B22F4E">
        <w:rPr>
          <w:rFonts w:ascii="Times New Roman" w:hAnsi="Times New Roman" w:cs="Times New Roman"/>
        </w:rPr>
        <w:t>.</w:t>
      </w:r>
      <w:r w:rsidR="009D1874">
        <w:rPr>
          <w:rStyle w:val="FootnoteReference"/>
          <w:rFonts w:ascii="Times New Roman" w:hAnsi="Times New Roman" w:cs="Times New Roman"/>
        </w:rPr>
        <w:footnoteReference w:id="17"/>
      </w:r>
    </w:p>
    <w:p w14:paraId="359B5779" w14:textId="77777777" w:rsidR="007B3DA7" w:rsidRPr="00B22F4E" w:rsidRDefault="007B3DA7" w:rsidP="003A0CBF">
      <w:pPr>
        <w:spacing w:after="0" w:line="240" w:lineRule="auto"/>
        <w:ind w:firstLine="720"/>
        <w:jc w:val="both"/>
        <w:rPr>
          <w:rFonts w:ascii="Times New Roman" w:hAnsi="Times New Roman" w:cs="Times New Roman"/>
        </w:rPr>
      </w:pPr>
    </w:p>
    <w:p w14:paraId="7CA7D4BA" w14:textId="574D6A3B" w:rsidR="00B22F4E" w:rsidRPr="00B22F4E" w:rsidRDefault="007B3DA7" w:rsidP="003A0CBF">
      <w:pPr>
        <w:spacing w:after="0" w:line="240" w:lineRule="auto"/>
        <w:ind w:firstLine="720"/>
        <w:jc w:val="both"/>
        <w:rPr>
          <w:rFonts w:ascii="Times New Roman" w:hAnsi="Times New Roman" w:cs="Times New Roman"/>
        </w:rPr>
      </w:pPr>
      <w:r w:rsidRPr="007B3DA7">
        <w:rPr>
          <w:rFonts w:ascii="Times New Roman" w:hAnsi="Times New Roman" w:cs="Times New Roman"/>
        </w:rPr>
        <w:t>One of the most widely used nonlitigation mechanisms in international trade is international arbitration. Arbitration is a method of resolving civil disputes out of court based on the written agreement of the parties. The advantage of arbitration lies in a faster, confidential settlement process, using arbitrators who are experts in their fields, and producing final and binding awards. These characteristics make arbitration a more effective forum in resolving international business disputes than litigation proceedings in court</w:t>
      </w:r>
      <w:r w:rsidR="00B22F4E" w:rsidRPr="00B22F4E">
        <w:rPr>
          <w:rFonts w:ascii="Times New Roman" w:hAnsi="Times New Roman" w:cs="Times New Roman"/>
        </w:rPr>
        <w:t>.</w:t>
      </w:r>
      <w:r w:rsidR="009D1874">
        <w:rPr>
          <w:rStyle w:val="FootnoteReference"/>
          <w:rFonts w:ascii="Times New Roman" w:hAnsi="Times New Roman" w:cs="Times New Roman"/>
        </w:rPr>
        <w:footnoteReference w:id="18"/>
      </w:r>
    </w:p>
    <w:p w14:paraId="4D98E6D8" w14:textId="77777777" w:rsidR="00B22F4E" w:rsidRPr="00B22F4E" w:rsidRDefault="00B22F4E" w:rsidP="003A0CBF">
      <w:pPr>
        <w:spacing w:after="0" w:line="240" w:lineRule="auto"/>
        <w:jc w:val="both"/>
        <w:rPr>
          <w:rFonts w:ascii="Times New Roman" w:hAnsi="Times New Roman" w:cs="Times New Roman"/>
        </w:rPr>
      </w:pPr>
    </w:p>
    <w:p w14:paraId="7DDCCF4C" w14:textId="33152B0A" w:rsidR="00B22F4E" w:rsidRPr="00B22F4E" w:rsidRDefault="007B3DA7" w:rsidP="003A0CBF">
      <w:pPr>
        <w:spacing w:after="0" w:line="240" w:lineRule="auto"/>
        <w:ind w:firstLine="720"/>
        <w:jc w:val="both"/>
        <w:rPr>
          <w:rFonts w:ascii="Times New Roman" w:hAnsi="Times New Roman" w:cs="Times New Roman"/>
        </w:rPr>
      </w:pPr>
      <w:r w:rsidRPr="007B3DA7">
        <w:rPr>
          <w:rFonts w:ascii="Times New Roman" w:hAnsi="Times New Roman" w:cs="Times New Roman"/>
        </w:rPr>
        <w:t>In Indonesia, arbitration is regulated in Law Number 30 of 1999 concerning Arbitration and Alternative Dispute Resolution. The law provides a legal basis for the conduct of national arbitration as well as recognition of international arbitration awards. In addition, Indonesia has also ratified the 1958 New York Convention through Presidential Decree Number 34 of 1981. The ratification demonstrates Indonesia's commitment to recognize and enforce foreign arbitral awards as long as it meets the requirements specified by laws and regulations</w:t>
      </w:r>
      <w:r w:rsidR="00B22F4E" w:rsidRPr="00B22F4E">
        <w:rPr>
          <w:rFonts w:ascii="Times New Roman" w:hAnsi="Times New Roman" w:cs="Times New Roman"/>
        </w:rPr>
        <w:t>.</w:t>
      </w:r>
      <w:r w:rsidR="009D1874">
        <w:rPr>
          <w:rStyle w:val="FootnoteReference"/>
          <w:rFonts w:ascii="Times New Roman" w:hAnsi="Times New Roman" w:cs="Times New Roman"/>
        </w:rPr>
        <w:footnoteReference w:id="19"/>
      </w:r>
    </w:p>
    <w:p w14:paraId="1B0986DB" w14:textId="77777777" w:rsidR="00B22F4E" w:rsidRPr="00B22F4E" w:rsidRDefault="00B22F4E" w:rsidP="003A0CBF">
      <w:pPr>
        <w:spacing w:after="0" w:line="240" w:lineRule="auto"/>
        <w:jc w:val="both"/>
        <w:rPr>
          <w:rFonts w:ascii="Times New Roman" w:hAnsi="Times New Roman" w:cs="Times New Roman"/>
        </w:rPr>
      </w:pPr>
    </w:p>
    <w:p w14:paraId="578736EE" w14:textId="257E09BA" w:rsidR="00B22F4E" w:rsidRPr="00B22F4E" w:rsidRDefault="007B3DA7" w:rsidP="003A0CBF">
      <w:pPr>
        <w:spacing w:after="0" w:line="240" w:lineRule="auto"/>
        <w:ind w:firstLine="720"/>
        <w:jc w:val="both"/>
        <w:rPr>
          <w:rFonts w:ascii="Times New Roman" w:hAnsi="Times New Roman" w:cs="Times New Roman"/>
        </w:rPr>
      </w:pPr>
      <w:r w:rsidRPr="007B3DA7">
        <w:rPr>
          <w:rFonts w:ascii="Times New Roman" w:hAnsi="Times New Roman" w:cs="Times New Roman"/>
        </w:rPr>
        <w:t>However, the implementation of international arbitration awards in Indonesia cannot be carried out automatically. Based on Law Number 30 of 1999, international arbitration awards must obtain exequatur from the Central Jakarta District Court before they can be executed. In addition, the decision must not contradict Indonesia's public order. These requirements are intended to maintain the sovereignty of national law while ensuring that the implementation of foreign judgments is not detrimental to the public interest</w:t>
      </w:r>
      <w:r w:rsidR="00B22F4E" w:rsidRPr="00B22F4E">
        <w:rPr>
          <w:rFonts w:ascii="Times New Roman" w:hAnsi="Times New Roman" w:cs="Times New Roman"/>
        </w:rPr>
        <w:t>.</w:t>
      </w:r>
      <w:r w:rsidR="009D1874">
        <w:rPr>
          <w:rStyle w:val="FootnoteReference"/>
          <w:rFonts w:ascii="Times New Roman" w:hAnsi="Times New Roman" w:cs="Times New Roman"/>
        </w:rPr>
        <w:footnoteReference w:id="20"/>
      </w:r>
    </w:p>
    <w:p w14:paraId="79532B37" w14:textId="77777777" w:rsidR="00B22F4E" w:rsidRPr="00B22F4E" w:rsidRDefault="00B22F4E" w:rsidP="003A0CBF">
      <w:pPr>
        <w:spacing w:after="0" w:line="240" w:lineRule="auto"/>
        <w:jc w:val="both"/>
        <w:rPr>
          <w:rFonts w:ascii="Times New Roman" w:hAnsi="Times New Roman" w:cs="Times New Roman"/>
        </w:rPr>
      </w:pPr>
    </w:p>
    <w:p w14:paraId="06ADC642" w14:textId="29EF97E4" w:rsidR="00B22F4E" w:rsidRDefault="007B3DA7" w:rsidP="003A0CBF">
      <w:pPr>
        <w:spacing w:after="0" w:line="240" w:lineRule="auto"/>
        <w:ind w:firstLine="720"/>
        <w:jc w:val="both"/>
        <w:rPr>
          <w:rFonts w:ascii="Times New Roman" w:hAnsi="Times New Roman" w:cs="Times New Roman"/>
        </w:rPr>
      </w:pPr>
      <w:r w:rsidRPr="007B3DA7">
        <w:rPr>
          <w:rFonts w:ascii="Times New Roman" w:hAnsi="Times New Roman" w:cs="Times New Roman"/>
        </w:rPr>
        <w:t>In addition to arbitration, technological developments have also encouraged the birth of the Online Dispute Resolution (ODR) mechanism as an alternative to e-commerce dispute resolution. ODR allows dispute resolution to be carried out electronically through internet media without requiring the parties to be physically present. This mechanism is considered more effective for disputes of small value but involve parties from different countries. Although its application in Indonesia is still limited, ODR is seen as one of the dispute resolution models that will develop along with the increase in global digital transactions</w:t>
      </w:r>
      <w:r w:rsidR="00B22F4E" w:rsidRPr="00B22F4E">
        <w:rPr>
          <w:rFonts w:ascii="Times New Roman" w:hAnsi="Times New Roman" w:cs="Times New Roman"/>
        </w:rPr>
        <w:t>.</w:t>
      </w:r>
      <w:r w:rsidR="009D1874">
        <w:rPr>
          <w:rStyle w:val="FootnoteReference"/>
          <w:rFonts w:ascii="Times New Roman" w:hAnsi="Times New Roman" w:cs="Times New Roman"/>
        </w:rPr>
        <w:footnoteReference w:id="21"/>
      </w:r>
      <w:r>
        <w:rPr>
          <w:rFonts w:ascii="Times New Roman" w:hAnsi="Times New Roman" w:cs="Times New Roman"/>
        </w:rPr>
        <w:t xml:space="preserve"> </w:t>
      </w:r>
      <w:r w:rsidRPr="007B3DA7">
        <w:rPr>
          <w:rFonts w:ascii="Times New Roman" w:hAnsi="Times New Roman" w:cs="Times New Roman"/>
        </w:rPr>
        <w:t>A concrete illustration of this trend is the European Union's Online Dispute Resolution Platform, which for almost a decade allowed consumers and traders in the EU, Norway, Iceland, and Liechtenstein to submit cross-border e-commerce complaints to a network of national ADR bodies through a single multilingual portal; its discontinuation in 2025 due to low usage nonetheless shows that an ODR mechanism must be actively promoted and made easily accessible in order to be effective. At the regional level, ASEAN has taken a comparable step through its Guidelines on Online Dispute Resolution, which direct member states, including Indonesia, to build national ODR systems as a foundation for an eventual ASEAN ODR Network capable of handling cross-border consumer complaints among member states. These examples indicate that the effectiveness of ODR in resolving cross-border consumer disputes depends not only on the existence of the technology, but also on institutional support, cooperation between countries, and sustained public awareness of the mechanism.</w:t>
      </w:r>
    </w:p>
    <w:p w14:paraId="766FDFB7" w14:textId="77777777" w:rsidR="007B3DA7" w:rsidRPr="00B22F4E" w:rsidRDefault="007B3DA7" w:rsidP="003A0CBF">
      <w:pPr>
        <w:spacing w:after="0" w:line="240" w:lineRule="auto"/>
        <w:ind w:firstLine="720"/>
        <w:jc w:val="both"/>
        <w:rPr>
          <w:rFonts w:ascii="Times New Roman" w:hAnsi="Times New Roman" w:cs="Times New Roman"/>
        </w:rPr>
      </w:pPr>
    </w:p>
    <w:p w14:paraId="1B328E48" w14:textId="77777777" w:rsidR="00A87838" w:rsidRDefault="007B3DA7" w:rsidP="00A87838">
      <w:pPr>
        <w:spacing w:after="0" w:line="240" w:lineRule="auto"/>
        <w:ind w:firstLine="720"/>
        <w:jc w:val="both"/>
        <w:rPr>
          <w:rFonts w:ascii="Times New Roman" w:hAnsi="Times New Roman" w:cs="Times New Roman"/>
        </w:rPr>
      </w:pPr>
      <w:r w:rsidRPr="007B3DA7">
        <w:rPr>
          <w:rFonts w:ascii="Times New Roman" w:hAnsi="Times New Roman" w:cs="Times New Roman"/>
        </w:rPr>
        <w:t>From the perspective of International Civil Law, the resolution of consumer disputes in e-commerce transactions is not only aimed at resolving disputes, but also provides certainty regarding applicable laws, authorized forums, and the implementation of judgments in other countries. Therefore, legal harmonization between countries is very important so that there are no jurisdictional conflicts or legal conflicts that can harm consumers</w:t>
      </w:r>
      <w:r w:rsidR="00B22F4E" w:rsidRPr="00B22F4E">
        <w:rPr>
          <w:rFonts w:ascii="Times New Roman" w:hAnsi="Times New Roman" w:cs="Times New Roman"/>
        </w:rPr>
        <w:t>.</w:t>
      </w:r>
      <w:r w:rsidR="009D1874">
        <w:rPr>
          <w:rStyle w:val="FootnoteReference"/>
          <w:rFonts w:ascii="Times New Roman" w:hAnsi="Times New Roman" w:cs="Times New Roman"/>
        </w:rPr>
        <w:footnoteReference w:id="22"/>
      </w:r>
    </w:p>
    <w:p w14:paraId="10C2BF82" w14:textId="77777777" w:rsidR="00A87838" w:rsidRDefault="00A87838" w:rsidP="00A87838">
      <w:pPr>
        <w:spacing w:after="0" w:line="240" w:lineRule="auto"/>
        <w:ind w:firstLine="720"/>
        <w:jc w:val="both"/>
        <w:rPr>
          <w:rFonts w:ascii="Times New Roman" w:hAnsi="Times New Roman" w:cs="Times New Roman"/>
        </w:rPr>
      </w:pPr>
    </w:p>
    <w:p w14:paraId="6E4CE0F2" w14:textId="7D8920F8" w:rsidR="00B22F4E" w:rsidRDefault="00A87838" w:rsidP="00A87838">
      <w:pPr>
        <w:spacing w:after="0" w:line="240" w:lineRule="auto"/>
        <w:ind w:firstLine="720"/>
        <w:jc w:val="both"/>
        <w:rPr>
          <w:rFonts w:ascii="Times New Roman" w:hAnsi="Times New Roman" w:cs="Times New Roman"/>
        </w:rPr>
      </w:pPr>
      <w:r w:rsidRPr="00A87838">
        <w:rPr>
          <w:rFonts w:ascii="Times New Roman" w:hAnsi="Times New Roman" w:cs="Times New Roman"/>
        </w:rPr>
        <w:t>According to the author, consumer protection in international e-commerce transactions will be more effective if supported by cooperation between countries in the recognition of judgments, harmonization of digital trade regulations, and improvement of fast, cheap, and easily accessible dispute resolution mechanisms. In addition, Indonesia needs to strengthen regulations on cross-border electronic transactions and develop technology-based dispute resolution mechanisms to be able to provide legal certainty for consumers in the era of global digital trade.</w:t>
      </w:r>
      <w:r w:rsidR="009D1874">
        <w:rPr>
          <w:rStyle w:val="FootnoteReference"/>
          <w:rFonts w:ascii="Times New Roman" w:hAnsi="Times New Roman" w:cs="Times New Roman"/>
        </w:rPr>
        <w:footnoteReference w:id="23"/>
      </w:r>
    </w:p>
    <w:p w14:paraId="313ACE2A" w14:textId="77777777" w:rsidR="00A87838" w:rsidRPr="00B22F4E" w:rsidRDefault="00A87838" w:rsidP="00A87838">
      <w:pPr>
        <w:spacing w:after="0" w:line="240" w:lineRule="auto"/>
        <w:ind w:firstLine="720"/>
        <w:jc w:val="both"/>
        <w:rPr>
          <w:rFonts w:ascii="Times New Roman" w:hAnsi="Times New Roman" w:cs="Times New Roman"/>
        </w:rPr>
      </w:pPr>
    </w:p>
    <w:p w14:paraId="6A273FFE" w14:textId="0DAB305B" w:rsidR="00FC1F1A" w:rsidRPr="00FC1F1A" w:rsidRDefault="0009793C" w:rsidP="003A0CBF">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CONCLUSIONS</w:t>
      </w:r>
    </w:p>
    <w:p w14:paraId="2BCDD689" w14:textId="77777777" w:rsidR="00A87838" w:rsidRDefault="00A87838" w:rsidP="00A87838">
      <w:pPr>
        <w:spacing w:after="0" w:line="240" w:lineRule="auto"/>
        <w:ind w:firstLine="720"/>
        <w:jc w:val="both"/>
        <w:rPr>
          <w:rFonts w:ascii="Times New Roman" w:hAnsi="Times New Roman" w:cs="Times New Roman"/>
        </w:rPr>
      </w:pPr>
      <w:r w:rsidRPr="00A87838">
        <w:rPr>
          <w:rFonts w:ascii="Times New Roman" w:hAnsi="Times New Roman" w:cs="Times New Roman"/>
        </w:rPr>
        <w:t>The development of e-commerce has provided convenience in the implementation of international trade, but it has also caused various legal problems, especially related to consumer protection. Transactions involving parties from different countries lead to issues regarding applicable law, jurisdiction, and dispute resolution mechanisms. Consumer protection in international e-commerce transactions cannot rely on national law alone; it also requires the application of International Civil Law principles, particularly choice of law, choice of forum, and the recognition of foreign judgments, in order to safeguard consumers as the weaker party in cross-border contractual relationships.</w:t>
      </w:r>
    </w:p>
    <w:p w14:paraId="44C63B12" w14:textId="77777777" w:rsidR="00A87838" w:rsidRPr="00A87838" w:rsidRDefault="00A87838" w:rsidP="00A87838">
      <w:pPr>
        <w:spacing w:after="0" w:line="240" w:lineRule="auto"/>
        <w:ind w:firstLine="720"/>
        <w:jc w:val="both"/>
        <w:rPr>
          <w:rFonts w:ascii="Times New Roman" w:hAnsi="Times New Roman" w:cs="Times New Roman"/>
        </w:rPr>
      </w:pPr>
    </w:p>
    <w:p w14:paraId="12AC2169" w14:textId="77777777" w:rsidR="00A87838" w:rsidRPr="00A87838" w:rsidRDefault="00A87838" w:rsidP="00A87838">
      <w:pPr>
        <w:spacing w:after="0" w:line="240" w:lineRule="auto"/>
        <w:ind w:firstLine="720"/>
        <w:jc w:val="both"/>
        <w:rPr>
          <w:rFonts w:ascii="Times New Roman" w:hAnsi="Times New Roman" w:cs="Times New Roman"/>
        </w:rPr>
      </w:pPr>
      <w:r w:rsidRPr="00A87838">
        <w:rPr>
          <w:rFonts w:ascii="Times New Roman" w:hAnsi="Times New Roman" w:cs="Times New Roman"/>
        </w:rPr>
        <w:t>Dispute resolution in international trade e-commerce transactions can be carried out through litigation and non-litigation channels. Among the non-litigation options, international arbitration is considered the most effective mechanism for resolving cross-border business disputes, while Online Dispute Resolution (ODR) offers a faster and more accessible alternative, particularly for low-value consumer claims. The development of regional ODR frameworks, such as those introduced by the European Union and ASEAN, shows that the effectiveness of ODR depends not only on technology, but also on institutional support and cooperation between countries. Accordingly, Indonesia needs to accelerate the development of a national ODR system, strengthen regulations on cross-border electronic transactions, and pursue closer legal harmonization and cooperation with other countries so that consumer protection in international e-commerce transactions can be carried out more optimally, ensuring certainty, justice, and legal benefit for all parties involved. This study is limited to a normative legal analysis based on library research; further empirical research is needed to examine the actual implementation and effectiveness of ODR mechanisms for consumer dispute resolution in Indonesia.</w:t>
      </w:r>
    </w:p>
    <w:p w14:paraId="23BAAD60" w14:textId="1A9C12A3" w:rsidR="00FC1F1A" w:rsidRDefault="00FC1F1A" w:rsidP="00A87838">
      <w:pPr>
        <w:spacing w:after="0" w:line="240" w:lineRule="auto"/>
        <w:ind w:firstLine="720"/>
        <w:jc w:val="both"/>
        <w:rPr>
          <w:rFonts w:ascii="Times New Roman" w:hAnsi="Times New Roman" w:cs="Times New Roman"/>
        </w:rPr>
      </w:pPr>
    </w:p>
    <w:p w14:paraId="27366B9B" w14:textId="77777777" w:rsidR="00B22F4E" w:rsidRDefault="00B22F4E" w:rsidP="003A0CBF">
      <w:pPr>
        <w:spacing w:after="0" w:line="240" w:lineRule="auto"/>
        <w:jc w:val="both"/>
        <w:rPr>
          <w:rFonts w:ascii="Times New Roman" w:hAnsi="Times New Roman" w:cs="Times New Roman"/>
        </w:rPr>
      </w:pPr>
    </w:p>
    <w:p w14:paraId="68F7DB11" w14:textId="0A4EEFDD" w:rsidR="00B22F4E" w:rsidRPr="00B22F4E" w:rsidRDefault="0009793C" w:rsidP="003A0CBF">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ACKNOWLEDGMENTS</w:t>
      </w:r>
    </w:p>
    <w:p w14:paraId="19BDF505" w14:textId="079C17EF" w:rsidR="00FC1F1A" w:rsidRDefault="00B22F4E" w:rsidP="003A0CBF">
      <w:pPr>
        <w:spacing w:after="0" w:line="240" w:lineRule="auto"/>
        <w:ind w:firstLine="720"/>
        <w:jc w:val="both"/>
        <w:rPr>
          <w:rFonts w:ascii="Times New Roman" w:hAnsi="Times New Roman" w:cs="Times New Roman"/>
        </w:rPr>
      </w:pPr>
      <w:r w:rsidRPr="00B22F4E">
        <w:rPr>
          <w:rFonts w:ascii="Times New Roman" w:hAnsi="Times New Roman" w:cs="Times New Roman"/>
        </w:rPr>
        <w:t xml:space="preserve">The author expresses gratitude to the presence of God Almighty for all His grace and gifts so that this article can be completed properly. The author also expressed his gratitude to the supervisor, the academic community of the Faculty of Law, </w:t>
      </w:r>
      <w:proofErr w:type="spellStart"/>
      <w:r w:rsidRPr="00B22F4E">
        <w:rPr>
          <w:rFonts w:ascii="Times New Roman" w:hAnsi="Times New Roman" w:cs="Times New Roman"/>
        </w:rPr>
        <w:t>Pertiba</w:t>
      </w:r>
      <w:proofErr w:type="spellEnd"/>
      <w:r w:rsidRPr="00B22F4E">
        <w:rPr>
          <w:rFonts w:ascii="Times New Roman" w:hAnsi="Times New Roman" w:cs="Times New Roman"/>
        </w:rPr>
        <w:t xml:space="preserve"> University, and all parties who have provided support, input, and assistance during the process of preparing this article. Hopefully this article can provide benefits for the development of legal science, especially in the field of International Civil Law, as well as a reference for further research on consumer protection in international trade e-commerce transactions.</w:t>
      </w:r>
    </w:p>
    <w:p w14:paraId="76DA232A" w14:textId="77777777" w:rsidR="00B22F4E" w:rsidRDefault="00B22F4E" w:rsidP="00956194">
      <w:pPr>
        <w:spacing w:after="0" w:line="240" w:lineRule="auto"/>
        <w:rPr>
          <w:rFonts w:ascii="Times New Roman" w:eastAsia="Times New Roman" w:hAnsi="Times New Roman" w:cs="Times New Roman"/>
          <w:b/>
          <w:sz w:val="24"/>
          <w:szCs w:val="24"/>
        </w:rPr>
      </w:pPr>
    </w:p>
    <w:p w14:paraId="5D933AC2" w14:textId="1154A211" w:rsidR="00956194" w:rsidRDefault="0009793C" w:rsidP="005752BD">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14:paraId="21665AC7" w14:textId="77777777" w:rsidR="00B04178" w:rsidRPr="006C2886" w:rsidRDefault="00B04178" w:rsidP="005752BD">
      <w:pPr>
        <w:ind w:left="720" w:hanging="720"/>
        <w:jc w:val="both"/>
        <w:rPr>
          <w:rFonts w:ascii="Times New Roman" w:hAnsi="Times New Roman" w:cs="Times New Roman"/>
        </w:rPr>
      </w:pPr>
      <w:r w:rsidRPr="006C2886">
        <w:rPr>
          <w:rFonts w:ascii="Times New Roman" w:hAnsi="Times New Roman" w:cs="Times New Roman"/>
        </w:rPr>
        <w:t xml:space="preserve">Ahmadi Miru and Sutarman Yodo, Consumer Protection Law (Jakarta: </w:t>
      </w:r>
      <w:proofErr w:type="spellStart"/>
      <w:r w:rsidRPr="006C2886">
        <w:rPr>
          <w:rFonts w:ascii="Times New Roman" w:hAnsi="Times New Roman" w:cs="Times New Roman"/>
        </w:rPr>
        <w:t>RajaGrafindo</w:t>
      </w:r>
      <w:proofErr w:type="spellEnd"/>
      <w:r w:rsidRPr="006C2886">
        <w:rPr>
          <w:rFonts w:ascii="Times New Roman" w:hAnsi="Times New Roman" w:cs="Times New Roman"/>
        </w:rPr>
        <w:t xml:space="preserve"> </w:t>
      </w:r>
      <w:proofErr w:type="spellStart"/>
      <w:r w:rsidRPr="006C2886">
        <w:rPr>
          <w:rFonts w:ascii="Times New Roman" w:hAnsi="Times New Roman" w:cs="Times New Roman"/>
        </w:rPr>
        <w:t>Persada</w:t>
      </w:r>
      <w:proofErr w:type="spellEnd"/>
      <w:r w:rsidRPr="006C2886">
        <w:rPr>
          <w:rFonts w:ascii="Times New Roman" w:hAnsi="Times New Roman" w:cs="Times New Roman"/>
        </w:rPr>
        <w:t>, 2015), p. 39.</w:t>
      </w:r>
    </w:p>
    <w:p w14:paraId="6EB54A6C" w14:textId="77777777" w:rsidR="00B04178" w:rsidRPr="009A3F1E" w:rsidRDefault="00B04178" w:rsidP="005752BD">
      <w:pPr>
        <w:ind w:left="720" w:hanging="720"/>
        <w:jc w:val="both"/>
        <w:rPr>
          <w:rFonts w:ascii="Times New Roman" w:hAnsi="Times New Roman" w:cs="Times New Roman"/>
        </w:rPr>
      </w:pPr>
      <w:r w:rsidRPr="009A3F1E">
        <w:rPr>
          <w:rFonts w:ascii="Times New Roman" w:hAnsi="Times New Roman" w:cs="Times New Roman"/>
        </w:rPr>
        <w:t xml:space="preserve">Civil Code, Article 1338; </w:t>
      </w:r>
      <w:proofErr w:type="spellStart"/>
      <w:r w:rsidRPr="009A3F1E">
        <w:rPr>
          <w:rFonts w:ascii="Times New Roman" w:hAnsi="Times New Roman" w:cs="Times New Roman"/>
        </w:rPr>
        <w:t>Sudargo</w:t>
      </w:r>
      <w:proofErr w:type="spellEnd"/>
      <w:r w:rsidRPr="009A3F1E">
        <w:rPr>
          <w:rFonts w:ascii="Times New Roman" w:hAnsi="Times New Roman" w:cs="Times New Roman"/>
        </w:rPr>
        <w:t xml:space="preserve"> Gautama, Introduction to Indonesian International Civil Law (Bandung: </w:t>
      </w:r>
      <w:proofErr w:type="spellStart"/>
      <w:r w:rsidRPr="009A3F1E">
        <w:rPr>
          <w:rFonts w:ascii="Times New Roman" w:hAnsi="Times New Roman" w:cs="Times New Roman"/>
        </w:rPr>
        <w:t>Binacipta</w:t>
      </w:r>
      <w:proofErr w:type="spellEnd"/>
      <w:r w:rsidRPr="009A3F1E">
        <w:rPr>
          <w:rFonts w:ascii="Times New Roman" w:hAnsi="Times New Roman" w:cs="Times New Roman"/>
        </w:rPr>
        <w:t>, 2007), p. 102.</w:t>
      </w:r>
    </w:p>
    <w:p w14:paraId="3BF51209" w14:textId="77777777" w:rsidR="00B04178" w:rsidRPr="006C2886" w:rsidRDefault="00B04178" w:rsidP="005752BD">
      <w:pPr>
        <w:ind w:left="720" w:hanging="720"/>
        <w:jc w:val="both"/>
        <w:rPr>
          <w:rFonts w:ascii="Times New Roman" w:hAnsi="Times New Roman" w:cs="Times New Roman"/>
        </w:rPr>
      </w:pPr>
      <w:r w:rsidRPr="006C2886">
        <w:rPr>
          <w:rFonts w:ascii="Times New Roman" w:hAnsi="Times New Roman" w:cs="Times New Roman"/>
        </w:rPr>
        <w:t>Convention on the Recognition and Enforcement of Foreign Arbitral Awards (New York Convention 1958).</w:t>
      </w:r>
    </w:p>
    <w:p w14:paraId="43C1C666" w14:textId="77777777" w:rsidR="00B04178" w:rsidRPr="006C2886" w:rsidRDefault="00B04178" w:rsidP="005752BD">
      <w:pPr>
        <w:ind w:left="720" w:hanging="720"/>
        <w:jc w:val="both"/>
        <w:rPr>
          <w:rFonts w:ascii="Times New Roman" w:hAnsi="Times New Roman" w:cs="Times New Roman"/>
        </w:rPr>
      </w:pPr>
      <w:r w:rsidRPr="006C2886">
        <w:rPr>
          <w:rFonts w:ascii="Times New Roman" w:hAnsi="Times New Roman" w:cs="Times New Roman"/>
        </w:rPr>
        <w:t>Erman Rajagukguk, Arbitration in Business Practice (Jakarta: Chandra Pratama, 2016), p. 96.</w:t>
      </w:r>
    </w:p>
    <w:p w14:paraId="7BE51CCE" w14:textId="77777777" w:rsidR="00B04178" w:rsidRPr="006C2886" w:rsidRDefault="00B04178" w:rsidP="005752BD">
      <w:pPr>
        <w:ind w:left="720" w:hanging="720"/>
        <w:jc w:val="both"/>
        <w:rPr>
          <w:rFonts w:ascii="Times New Roman" w:hAnsi="Times New Roman" w:cs="Times New Roman"/>
        </w:rPr>
      </w:pPr>
      <w:r w:rsidRPr="009A3F1E">
        <w:rPr>
          <w:rFonts w:ascii="Times New Roman" w:hAnsi="Times New Roman" w:cs="Times New Roman"/>
        </w:rPr>
        <w:t xml:space="preserve">Fabrizio Cafaggi &amp; Horatia Muir Watt, "The Regulatory Framework for Digital Assets in Private International Law," European Review of Private Law (2023), p. 430. Ahmadi Miru &amp; Sutarman Yodo, Consumer Protection Law (Jakarta: </w:t>
      </w:r>
      <w:proofErr w:type="spellStart"/>
      <w:r w:rsidRPr="009A3F1E">
        <w:rPr>
          <w:rFonts w:ascii="Times New Roman" w:hAnsi="Times New Roman" w:cs="Times New Roman"/>
        </w:rPr>
        <w:t>RajaGrafindo</w:t>
      </w:r>
      <w:proofErr w:type="spellEnd"/>
      <w:r w:rsidRPr="009A3F1E">
        <w:rPr>
          <w:rFonts w:ascii="Times New Roman" w:hAnsi="Times New Roman" w:cs="Times New Roman"/>
        </w:rPr>
        <w:t xml:space="preserve"> </w:t>
      </w:r>
      <w:proofErr w:type="spellStart"/>
      <w:r w:rsidRPr="009A3F1E">
        <w:rPr>
          <w:rFonts w:ascii="Times New Roman" w:hAnsi="Times New Roman" w:cs="Times New Roman"/>
        </w:rPr>
        <w:t>Persada</w:t>
      </w:r>
      <w:proofErr w:type="spellEnd"/>
      <w:r w:rsidRPr="009A3F1E">
        <w:rPr>
          <w:rFonts w:ascii="Times New Roman" w:hAnsi="Times New Roman" w:cs="Times New Roman"/>
        </w:rPr>
        <w:t>, 2015), pp. 1–5.</w:t>
      </w:r>
    </w:p>
    <w:p w14:paraId="1F8EFE4E" w14:textId="77777777" w:rsidR="00B04178" w:rsidRPr="009A3F1E" w:rsidRDefault="00B04178" w:rsidP="005752BD">
      <w:pPr>
        <w:ind w:left="720" w:hanging="720"/>
        <w:jc w:val="both"/>
        <w:rPr>
          <w:rFonts w:ascii="Times New Roman" w:hAnsi="Times New Roman" w:cs="Times New Roman"/>
        </w:rPr>
      </w:pPr>
      <w:r w:rsidRPr="009A3F1E">
        <w:rPr>
          <w:rFonts w:ascii="Times New Roman" w:hAnsi="Times New Roman" w:cs="Times New Roman"/>
        </w:rPr>
        <w:t xml:space="preserve">Fabrizio Cafaggi &amp; Horatia Muir Watt, “The Regulatory Framework for Digital Assets in Private International Law,” European Review of Private Law (2023), </w:t>
      </w:r>
      <w:proofErr w:type="spellStart"/>
      <w:r w:rsidRPr="009A3F1E">
        <w:rPr>
          <w:rFonts w:ascii="Times New Roman" w:hAnsi="Times New Roman" w:cs="Times New Roman"/>
        </w:rPr>
        <w:t>hlm</w:t>
      </w:r>
      <w:proofErr w:type="spellEnd"/>
      <w:r w:rsidRPr="009A3F1E">
        <w:rPr>
          <w:rFonts w:ascii="Times New Roman" w:hAnsi="Times New Roman" w:cs="Times New Roman"/>
        </w:rPr>
        <w:t>. 421.</w:t>
      </w:r>
    </w:p>
    <w:p w14:paraId="4BBEA65D" w14:textId="77777777" w:rsidR="00B04178" w:rsidRPr="009A3F1E" w:rsidRDefault="00B04178" w:rsidP="005752BD">
      <w:pPr>
        <w:ind w:left="720" w:hanging="720"/>
        <w:jc w:val="both"/>
        <w:rPr>
          <w:rFonts w:ascii="Times New Roman" w:hAnsi="Times New Roman" w:cs="Times New Roman"/>
        </w:rPr>
      </w:pPr>
      <w:r w:rsidRPr="009A3F1E">
        <w:rPr>
          <w:rFonts w:ascii="Times New Roman" w:hAnsi="Times New Roman" w:cs="Times New Roman"/>
        </w:rPr>
        <w:t xml:space="preserve">Franco Ferrari, Private International Law (Cheltenham: Edward Elgar Publishing, 2023), </w:t>
      </w:r>
      <w:proofErr w:type="spellStart"/>
      <w:r w:rsidRPr="009A3F1E">
        <w:rPr>
          <w:rFonts w:ascii="Times New Roman" w:hAnsi="Times New Roman" w:cs="Times New Roman"/>
        </w:rPr>
        <w:t>hlm</w:t>
      </w:r>
      <w:proofErr w:type="spellEnd"/>
      <w:r w:rsidRPr="009A3F1E">
        <w:rPr>
          <w:rFonts w:ascii="Times New Roman" w:hAnsi="Times New Roman" w:cs="Times New Roman"/>
        </w:rPr>
        <w:t>. 56.</w:t>
      </w:r>
    </w:p>
    <w:p w14:paraId="6C01282E" w14:textId="77777777" w:rsidR="00B04178" w:rsidRPr="009A3F1E" w:rsidRDefault="00B04178" w:rsidP="005752BD">
      <w:pPr>
        <w:ind w:left="720" w:hanging="720"/>
        <w:jc w:val="both"/>
        <w:rPr>
          <w:rFonts w:ascii="Times New Roman" w:hAnsi="Times New Roman" w:cs="Times New Roman"/>
        </w:rPr>
      </w:pPr>
      <w:r w:rsidRPr="009A3F1E">
        <w:rPr>
          <w:rFonts w:ascii="Times New Roman" w:hAnsi="Times New Roman" w:cs="Times New Roman"/>
        </w:rPr>
        <w:t>Hague Conference on Private International Law (HCCH), Convention on Choice of Court Agreements (2005).</w:t>
      </w:r>
    </w:p>
    <w:p w14:paraId="036F6A38" w14:textId="77777777" w:rsidR="00B04178" w:rsidRPr="006C2886" w:rsidRDefault="00B04178" w:rsidP="005752BD">
      <w:pPr>
        <w:ind w:left="720" w:hanging="720"/>
        <w:jc w:val="both"/>
        <w:rPr>
          <w:rFonts w:ascii="Times New Roman" w:hAnsi="Times New Roman" w:cs="Times New Roman"/>
        </w:rPr>
      </w:pPr>
      <w:proofErr w:type="spellStart"/>
      <w:r w:rsidRPr="006C2886">
        <w:rPr>
          <w:rFonts w:ascii="Times New Roman" w:hAnsi="Times New Roman" w:cs="Times New Roman"/>
        </w:rPr>
        <w:t>Hikmahanto</w:t>
      </w:r>
      <w:proofErr w:type="spellEnd"/>
      <w:r w:rsidRPr="006C2886">
        <w:rPr>
          <w:rFonts w:ascii="Times New Roman" w:hAnsi="Times New Roman" w:cs="Times New Roman"/>
        </w:rPr>
        <w:t xml:space="preserve"> Juwana, International Law in Indonesian Perspective (Jakarta: Yayasan </w:t>
      </w:r>
      <w:proofErr w:type="spellStart"/>
      <w:r w:rsidRPr="006C2886">
        <w:rPr>
          <w:rFonts w:ascii="Times New Roman" w:hAnsi="Times New Roman" w:cs="Times New Roman"/>
        </w:rPr>
        <w:t>Obor</w:t>
      </w:r>
      <w:proofErr w:type="spellEnd"/>
      <w:r w:rsidRPr="006C2886">
        <w:rPr>
          <w:rFonts w:ascii="Times New Roman" w:hAnsi="Times New Roman" w:cs="Times New Roman"/>
        </w:rPr>
        <w:t xml:space="preserve"> Indonesia, 2010), pp. 214–220.</w:t>
      </w:r>
    </w:p>
    <w:p w14:paraId="644AA369" w14:textId="77777777" w:rsidR="00B04178" w:rsidRPr="006C2886" w:rsidRDefault="00B04178" w:rsidP="005752BD">
      <w:pPr>
        <w:ind w:left="720" w:hanging="720"/>
        <w:jc w:val="both"/>
        <w:rPr>
          <w:rFonts w:ascii="Times New Roman" w:hAnsi="Times New Roman" w:cs="Times New Roman"/>
        </w:rPr>
      </w:pPr>
      <w:proofErr w:type="spellStart"/>
      <w:r w:rsidRPr="006C2886">
        <w:rPr>
          <w:rFonts w:ascii="Times New Roman" w:hAnsi="Times New Roman" w:cs="Times New Roman"/>
        </w:rPr>
        <w:t>Hikmahanto</w:t>
      </w:r>
      <w:proofErr w:type="spellEnd"/>
      <w:r w:rsidRPr="006C2886">
        <w:rPr>
          <w:rFonts w:ascii="Times New Roman" w:hAnsi="Times New Roman" w:cs="Times New Roman"/>
        </w:rPr>
        <w:t xml:space="preserve"> Juwana, International Law in Indonesian Perspective (Jakarta: Yayasan </w:t>
      </w:r>
      <w:proofErr w:type="spellStart"/>
      <w:r w:rsidRPr="006C2886">
        <w:rPr>
          <w:rFonts w:ascii="Times New Roman" w:hAnsi="Times New Roman" w:cs="Times New Roman"/>
        </w:rPr>
        <w:t>Obor</w:t>
      </w:r>
      <w:proofErr w:type="spellEnd"/>
      <w:r w:rsidRPr="006C2886">
        <w:rPr>
          <w:rFonts w:ascii="Times New Roman" w:hAnsi="Times New Roman" w:cs="Times New Roman"/>
        </w:rPr>
        <w:t xml:space="preserve"> Indonesia, 2010), p. 221.</w:t>
      </w:r>
    </w:p>
    <w:p w14:paraId="1E6BCE69" w14:textId="77777777" w:rsidR="00B04178" w:rsidRPr="006C2886" w:rsidRDefault="00B04178" w:rsidP="005752BD">
      <w:pPr>
        <w:ind w:left="720" w:hanging="720"/>
        <w:jc w:val="both"/>
        <w:rPr>
          <w:rFonts w:ascii="Times New Roman" w:hAnsi="Times New Roman" w:cs="Times New Roman"/>
        </w:rPr>
      </w:pPr>
      <w:proofErr w:type="spellStart"/>
      <w:r w:rsidRPr="006C2886">
        <w:rPr>
          <w:rFonts w:ascii="Times New Roman" w:hAnsi="Times New Roman" w:cs="Times New Roman"/>
        </w:rPr>
        <w:t>Hikmahanto</w:t>
      </w:r>
      <w:proofErr w:type="spellEnd"/>
      <w:r w:rsidRPr="006C2886">
        <w:rPr>
          <w:rFonts w:ascii="Times New Roman" w:hAnsi="Times New Roman" w:cs="Times New Roman"/>
        </w:rPr>
        <w:t xml:space="preserve"> Juwana, International Law in Indonesian Perspective (Jakarta: Yayasan </w:t>
      </w:r>
      <w:proofErr w:type="spellStart"/>
      <w:r w:rsidRPr="006C2886">
        <w:rPr>
          <w:rFonts w:ascii="Times New Roman" w:hAnsi="Times New Roman" w:cs="Times New Roman"/>
        </w:rPr>
        <w:t>Obor</w:t>
      </w:r>
      <w:proofErr w:type="spellEnd"/>
      <w:r w:rsidRPr="006C2886">
        <w:rPr>
          <w:rFonts w:ascii="Times New Roman" w:hAnsi="Times New Roman" w:cs="Times New Roman"/>
        </w:rPr>
        <w:t xml:space="preserve"> Indonesia, 2010), p. 287.</w:t>
      </w:r>
    </w:p>
    <w:p w14:paraId="28DA4EC3" w14:textId="77777777" w:rsidR="00B04178" w:rsidRPr="009A3F1E" w:rsidRDefault="00B04178" w:rsidP="005752BD">
      <w:pPr>
        <w:ind w:left="720" w:hanging="720"/>
        <w:jc w:val="both"/>
        <w:rPr>
          <w:rFonts w:ascii="Times New Roman" w:hAnsi="Times New Roman" w:cs="Times New Roman"/>
        </w:rPr>
      </w:pPr>
      <w:r w:rsidRPr="009A3F1E">
        <w:rPr>
          <w:rFonts w:ascii="Times New Roman" w:hAnsi="Times New Roman" w:cs="Times New Roman"/>
        </w:rPr>
        <w:t>Ion Science Ltd v Persons Unknown [2020] EWHC 1751 (Comm).</w:t>
      </w:r>
    </w:p>
    <w:p w14:paraId="5A0C66A8" w14:textId="77777777" w:rsidR="00B04178" w:rsidRPr="009A3F1E" w:rsidRDefault="00B04178" w:rsidP="005752BD">
      <w:pPr>
        <w:ind w:left="720" w:hanging="720"/>
        <w:jc w:val="both"/>
        <w:rPr>
          <w:rFonts w:ascii="Times New Roman" w:hAnsi="Times New Roman" w:cs="Times New Roman"/>
        </w:rPr>
      </w:pPr>
      <w:r w:rsidRPr="009A3F1E">
        <w:rPr>
          <w:rFonts w:ascii="Times New Roman" w:hAnsi="Times New Roman" w:cs="Times New Roman"/>
        </w:rPr>
        <w:t xml:space="preserve">Ion Science Ltd v Persons Unknown [2020] EWHC 1751 (Comm); B2C2 Ltd v </w:t>
      </w:r>
      <w:proofErr w:type="spellStart"/>
      <w:r w:rsidRPr="009A3F1E">
        <w:rPr>
          <w:rFonts w:ascii="Times New Roman" w:hAnsi="Times New Roman" w:cs="Times New Roman"/>
        </w:rPr>
        <w:t>Quoine</w:t>
      </w:r>
      <w:proofErr w:type="spellEnd"/>
      <w:r w:rsidRPr="009A3F1E">
        <w:rPr>
          <w:rFonts w:ascii="Times New Roman" w:hAnsi="Times New Roman" w:cs="Times New Roman"/>
        </w:rPr>
        <w:t xml:space="preserve"> Pte Ltd [2019] SGHC(I) 03.</w:t>
      </w:r>
    </w:p>
    <w:p w14:paraId="28CB1060" w14:textId="77777777" w:rsidR="00B04178" w:rsidRPr="006C2886" w:rsidRDefault="00B04178" w:rsidP="005752BD">
      <w:pPr>
        <w:ind w:left="720" w:hanging="720"/>
        <w:jc w:val="both"/>
        <w:rPr>
          <w:rFonts w:ascii="Times New Roman" w:hAnsi="Times New Roman" w:cs="Times New Roman"/>
        </w:rPr>
      </w:pPr>
      <w:r w:rsidRPr="006C2886">
        <w:rPr>
          <w:rFonts w:ascii="Times New Roman" w:hAnsi="Times New Roman" w:cs="Times New Roman"/>
        </w:rPr>
        <w:t>Law Number 1 of 2024 concerning the Second Amendment to Law Number 11 of 2008 concerning Information and Electronic Transactions.</w:t>
      </w:r>
    </w:p>
    <w:p w14:paraId="11400872" w14:textId="77777777" w:rsidR="00B04178" w:rsidRPr="006C2886" w:rsidRDefault="00B04178" w:rsidP="005752BD">
      <w:pPr>
        <w:ind w:left="720" w:hanging="720"/>
        <w:jc w:val="both"/>
        <w:rPr>
          <w:rFonts w:ascii="Times New Roman" w:hAnsi="Times New Roman" w:cs="Times New Roman"/>
        </w:rPr>
      </w:pPr>
      <w:r w:rsidRPr="006C2886">
        <w:rPr>
          <w:rFonts w:ascii="Times New Roman" w:hAnsi="Times New Roman" w:cs="Times New Roman"/>
        </w:rPr>
        <w:t>Law Number 30 of 1999 concerning Arbitration and Alternative Dispute Resolution.</w:t>
      </w:r>
    </w:p>
    <w:p w14:paraId="6090C186" w14:textId="77777777" w:rsidR="00B04178" w:rsidRPr="009A3F1E" w:rsidRDefault="00B04178" w:rsidP="005752BD">
      <w:pPr>
        <w:ind w:left="720" w:hanging="720"/>
        <w:jc w:val="both"/>
        <w:rPr>
          <w:rFonts w:ascii="Times New Roman" w:hAnsi="Times New Roman" w:cs="Times New Roman"/>
        </w:rPr>
      </w:pPr>
      <w:r w:rsidRPr="009A3F1E">
        <w:rPr>
          <w:rFonts w:ascii="Times New Roman" w:hAnsi="Times New Roman" w:cs="Times New Roman"/>
        </w:rPr>
        <w:t>Law Number 4 of 2023 concerning the Development and Strengthening of the Financial Sector; Bank Indonesia Regulation No. 17/3/PBI/2015 concerning the Obligation to Use Rupiah.</w:t>
      </w:r>
    </w:p>
    <w:p w14:paraId="2C5D0FCB" w14:textId="77777777" w:rsidR="00B04178" w:rsidRPr="009A3F1E" w:rsidRDefault="00B04178" w:rsidP="005752BD">
      <w:pPr>
        <w:ind w:left="720" w:hanging="720"/>
        <w:jc w:val="both"/>
        <w:rPr>
          <w:rFonts w:ascii="Times New Roman" w:hAnsi="Times New Roman" w:cs="Times New Roman"/>
        </w:rPr>
      </w:pPr>
      <w:r w:rsidRPr="009A3F1E">
        <w:rPr>
          <w:rFonts w:ascii="Times New Roman" w:hAnsi="Times New Roman" w:cs="Times New Roman"/>
        </w:rPr>
        <w:t>Law Number 4 of 2023 concerning the Development and Strengthening of the Financial Sector and OJK Regulations regarding digital financial assets.</w:t>
      </w:r>
    </w:p>
    <w:p w14:paraId="0933979F" w14:textId="77777777" w:rsidR="00B04178" w:rsidRPr="009A3F1E" w:rsidRDefault="00B04178" w:rsidP="005752BD">
      <w:pPr>
        <w:ind w:left="720" w:hanging="720"/>
        <w:jc w:val="both"/>
        <w:rPr>
          <w:rFonts w:ascii="Times New Roman" w:hAnsi="Times New Roman" w:cs="Times New Roman"/>
        </w:rPr>
      </w:pPr>
      <w:r w:rsidRPr="009A3F1E">
        <w:rPr>
          <w:rFonts w:ascii="Times New Roman" w:hAnsi="Times New Roman" w:cs="Times New Roman"/>
        </w:rPr>
        <w:t>Law Number 4 of 2023 concerning the Development and Strengthening of the Financial Sector; Bank Indonesia Regulation No. 17 of 2015 concerning the Obligation to Use Rupiah.</w:t>
      </w:r>
    </w:p>
    <w:p w14:paraId="1B4C5D12" w14:textId="77777777" w:rsidR="00B04178" w:rsidRPr="006C2886" w:rsidRDefault="00B04178" w:rsidP="005752BD">
      <w:pPr>
        <w:ind w:left="720" w:hanging="720"/>
        <w:jc w:val="both"/>
        <w:rPr>
          <w:rFonts w:ascii="Times New Roman" w:hAnsi="Times New Roman" w:cs="Times New Roman"/>
        </w:rPr>
      </w:pPr>
      <w:r w:rsidRPr="006C2886">
        <w:rPr>
          <w:rFonts w:ascii="Times New Roman" w:hAnsi="Times New Roman" w:cs="Times New Roman"/>
        </w:rPr>
        <w:t>Law Number 8 of 1999 concerning Consumer Protection, Article 4.</w:t>
      </w:r>
    </w:p>
    <w:p w14:paraId="5B9B38C1" w14:textId="77777777" w:rsidR="00B04178" w:rsidRPr="006C2886" w:rsidRDefault="00B04178" w:rsidP="005752BD">
      <w:pPr>
        <w:ind w:left="720" w:hanging="720"/>
        <w:jc w:val="both"/>
        <w:rPr>
          <w:rFonts w:ascii="Times New Roman" w:hAnsi="Times New Roman" w:cs="Times New Roman"/>
        </w:rPr>
      </w:pPr>
      <w:r w:rsidRPr="006C2886">
        <w:rPr>
          <w:rFonts w:ascii="Times New Roman" w:hAnsi="Times New Roman" w:cs="Times New Roman"/>
        </w:rPr>
        <w:t>Law Number 8 of 1999 concerning Consumer Protection; Law Number 1 of 2024 concerning the Second Amendment to Law Number 11 of 2008 concerning Information and Electronic Transactions.</w:t>
      </w:r>
    </w:p>
    <w:p w14:paraId="6CDD2D4F" w14:textId="77777777" w:rsidR="00B04178" w:rsidRPr="009A3F1E" w:rsidRDefault="00B04178" w:rsidP="005752BD">
      <w:pPr>
        <w:ind w:left="720" w:hanging="720"/>
        <w:jc w:val="both"/>
        <w:rPr>
          <w:rFonts w:ascii="Times New Roman" w:hAnsi="Times New Roman" w:cs="Times New Roman"/>
        </w:rPr>
      </w:pPr>
      <w:r w:rsidRPr="009A3F1E">
        <w:rPr>
          <w:rFonts w:ascii="Times New Roman" w:hAnsi="Times New Roman" w:cs="Times New Roman"/>
        </w:rPr>
        <w:t xml:space="preserve">M. Lehmann, “Digital Assets in the Conflict of Laws,” Singapore Journal of Legal Studies (2024), </w:t>
      </w:r>
      <w:proofErr w:type="spellStart"/>
      <w:r w:rsidRPr="009A3F1E">
        <w:rPr>
          <w:rFonts w:ascii="Times New Roman" w:hAnsi="Times New Roman" w:cs="Times New Roman"/>
        </w:rPr>
        <w:t>hlm</w:t>
      </w:r>
      <w:proofErr w:type="spellEnd"/>
      <w:r w:rsidRPr="009A3F1E">
        <w:rPr>
          <w:rFonts w:ascii="Times New Roman" w:hAnsi="Times New Roman" w:cs="Times New Roman"/>
        </w:rPr>
        <w:t>. 105.</w:t>
      </w:r>
    </w:p>
    <w:p w14:paraId="7C2030CC" w14:textId="77777777" w:rsidR="00B04178" w:rsidRPr="003A0CBF" w:rsidRDefault="00B04178" w:rsidP="005752BD">
      <w:pPr>
        <w:ind w:left="720" w:hanging="720"/>
        <w:jc w:val="both"/>
        <w:rPr>
          <w:rFonts w:ascii="Times New Roman" w:hAnsi="Times New Roman" w:cs="Times New Roman"/>
          <w:lang w:val="fi-FI"/>
        </w:rPr>
      </w:pPr>
      <w:r w:rsidRPr="003A0CBF">
        <w:rPr>
          <w:rFonts w:ascii="Times New Roman" w:hAnsi="Times New Roman" w:cs="Times New Roman"/>
          <w:lang w:val="fi-FI"/>
        </w:rPr>
        <w:t>M. Yahya Harahap, Arbitration (Jakarta: Sinar Grafika, 2004), p. 45.</w:t>
      </w:r>
    </w:p>
    <w:p w14:paraId="79FD011C" w14:textId="77777777" w:rsidR="00B04178" w:rsidRPr="009A3F1E" w:rsidRDefault="00B04178" w:rsidP="005752BD">
      <w:pPr>
        <w:ind w:left="720" w:hanging="720"/>
        <w:jc w:val="both"/>
        <w:rPr>
          <w:rFonts w:ascii="Times New Roman" w:hAnsi="Times New Roman" w:cs="Times New Roman"/>
        </w:rPr>
      </w:pPr>
      <w:r w:rsidRPr="009A3F1E">
        <w:rPr>
          <w:rFonts w:ascii="Times New Roman" w:hAnsi="Times New Roman" w:cs="Times New Roman"/>
        </w:rPr>
        <w:t xml:space="preserve">Michael Lehmann, “Digital Assets in the Conflict of Laws,” Singapore Journal of Legal Studies (2024), </w:t>
      </w:r>
      <w:proofErr w:type="spellStart"/>
      <w:r w:rsidRPr="009A3F1E">
        <w:rPr>
          <w:rFonts w:ascii="Times New Roman" w:hAnsi="Times New Roman" w:cs="Times New Roman"/>
        </w:rPr>
        <w:t>hlm</w:t>
      </w:r>
      <w:proofErr w:type="spellEnd"/>
      <w:r w:rsidRPr="009A3F1E">
        <w:rPr>
          <w:rFonts w:ascii="Times New Roman" w:hAnsi="Times New Roman" w:cs="Times New Roman"/>
        </w:rPr>
        <w:t>. 101–105.</w:t>
      </w:r>
    </w:p>
    <w:p w14:paraId="7A208AE0" w14:textId="77777777" w:rsidR="00B04178" w:rsidRPr="009A3F1E" w:rsidRDefault="00B04178" w:rsidP="005752BD">
      <w:pPr>
        <w:ind w:left="720" w:hanging="720"/>
        <w:jc w:val="both"/>
        <w:rPr>
          <w:rFonts w:ascii="Times New Roman" w:hAnsi="Times New Roman" w:cs="Times New Roman"/>
        </w:rPr>
      </w:pPr>
      <w:r w:rsidRPr="009A3F1E">
        <w:rPr>
          <w:rFonts w:ascii="Times New Roman" w:hAnsi="Times New Roman" w:cs="Times New Roman"/>
        </w:rPr>
        <w:t xml:space="preserve">Michael Lehmann, “Digital Assets in the Conflict of Laws,” Singapore Journal of Legal Studies (2024), </w:t>
      </w:r>
      <w:proofErr w:type="spellStart"/>
      <w:r w:rsidRPr="009A3F1E">
        <w:rPr>
          <w:rFonts w:ascii="Times New Roman" w:hAnsi="Times New Roman" w:cs="Times New Roman"/>
        </w:rPr>
        <w:t>hlm</w:t>
      </w:r>
      <w:proofErr w:type="spellEnd"/>
      <w:r w:rsidRPr="009A3F1E">
        <w:rPr>
          <w:rFonts w:ascii="Times New Roman" w:hAnsi="Times New Roman" w:cs="Times New Roman"/>
        </w:rPr>
        <w:t>. 117.</w:t>
      </w:r>
    </w:p>
    <w:p w14:paraId="4D7CAF61" w14:textId="77777777" w:rsidR="00B04178" w:rsidRPr="006C2886" w:rsidRDefault="00B04178" w:rsidP="005752BD">
      <w:pPr>
        <w:ind w:left="720" w:hanging="720"/>
        <w:jc w:val="both"/>
        <w:rPr>
          <w:rFonts w:ascii="Times New Roman" w:hAnsi="Times New Roman" w:cs="Times New Roman"/>
        </w:rPr>
      </w:pPr>
      <w:r w:rsidRPr="006C2886">
        <w:rPr>
          <w:rFonts w:ascii="Times New Roman" w:hAnsi="Times New Roman" w:cs="Times New Roman"/>
        </w:rPr>
        <w:t xml:space="preserve">Peter Mahmud Marzuki, Introduction to Law (Jakarta: </w:t>
      </w:r>
      <w:proofErr w:type="spellStart"/>
      <w:r w:rsidRPr="006C2886">
        <w:rPr>
          <w:rFonts w:ascii="Times New Roman" w:hAnsi="Times New Roman" w:cs="Times New Roman"/>
        </w:rPr>
        <w:t>Kencana</w:t>
      </w:r>
      <w:proofErr w:type="spellEnd"/>
      <w:r w:rsidRPr="006C2886">
        <w:rPr>
          <w:rFonts w:ascii="Times New Roman" w:hAnsi="Times New Roman" w:cs="Times New Roman"/>
        </w:rPr>
        <w:t>, 2021), p. 315.</w:t>
      </w:r>
    </w:p>
    <w:p w14:paraId="43610DC1" w14:textId="77777777" w:rsidR="00B04178" w:rsidRPr="006C2886" w:rsidRDefault="00B04178" w:rsidP="005752BD">
      <w:pPr>
        <w:ind w:left="720" w:hanging="720"/>
        <w:jc w:val="both"/>
        <w:rPr>
          <w:rFonts w:ascii="Times New Roman" w:hAnsi="Times New Roman" w:cs="Times New Roman"/>
        </w:rPr>
      </w:pPr>
      <w:r w:rsidRPr="006C2886">
        <w:rPr>
          <w:rFonts w:ascii="Times New Roman" w:hAnsi="Times New Roman" w:cs="Times New Roman"/>
        </w:rPr>
        <w:t xml:space="preserve">Peter Mahmud Marzuki, Legal Research (Jakarta: </w:t>
      </w:r>
      <w:proofErr w:type="spellStart"/>
      <w:r w:rsidRPr="006C2886">
        <w:rPr>
          <w:rFonts w:ascii="Times New Roman" w:hAnsi="Times New Roman" w:cs="Times New Roman"/>
        </w:rPr>
        <w:t>Kencana</w:t>
      </w:r>
      <w:proofErr w:type="spellEnd"/>
      <w:r w:rsidRPr="006C2886">
        <w:rPr>
          <w:rFonts w:ascii="Times New Roman" w:hAnsi="Times New Roman" w:cs="Times New Roman"/>
        </w:rPr>
        <w:t>, 2021), p. 287.</w:t>
      </w:r>
    </w:p>
    <w:p w14:paraId="7D598611" w14:textId="77777777" w:rsidR="00B04178" w:rsidRPr="006C2886" w:rsidRDefault="00B04178" w:rsidP="005752BD">
      <w:pPr>
        <w:ind w:left="720" w:hanging="720"/>
        <w:jc w:val="both"/>
        <w:rPr>
          <w:rFonts w:ascii="Times New Roman" w:hAnsi="Times New Roman" w:cs="Times New Roman"/>
        </w:rPr>
      </w:pPr>
      <w:r w:rsidRPr="006C2886">
        <w:rPr>
          <w:rFonts w:ascii="Times New Roman" w:hAnsi="Times New Roman" w:cs="Times New Roman"/>
        </w:rPr>
        <w:t xml:space="preserve">Peter Mahmud Marzuki, Legal Research (Jakarta: </w:t>
      </w:r>
      <w:proofErr w:type="spellStart"/>
      <w:r w:rsidRPr="006C2886">
        <w:rPr>
          <w:rFonts w:ascii="Times New Roman" w:hAnsi="Times New Roman" w:cs="Times New Roman"/>
        </w:rPr>
        <w:t>Kencana</w:t>
      </w:r>
      <w:proofErr w:type="spellEnd"/>
      <w:r w:rsidRPr="006C2886">
        <w:rPr>
          <w:rFonts w:ascii="Times New Roman" w:hAnsi="Times New Roman" w:cs="Times New Roman"/>
        </w:rPr>
        <w:t>, 2021), pp. 87–90.</w:t>
      </w:r>
    </w:p>
    <w:p w14:paraId="6E793C06" w14:textId="77777777" w:rsidR="00B04178" w:rsidRPr="009A3F1E" w:rsidRDefault="00B04178" w:rsidP="005752BD">
      <w:pPr>
        <w:ind w:left="720" w:hanging="720"/>
        <w:jc w:val="both"/>
        <w:rPr>
          <w:rFonts w:ascii="Times New Roman" w:hAnsi="Times New Roman" w:cs="Times New Roman"/>
        </w:rPr>
      </w:pPr>
      <w:r w:rsidRPr="009A3F1E">
        <w:rPr>
          <w:rFonts w:ascii="Times New Roman" w:hAnsi="Times New Roman" w:cs="Times New Roman"/>
        </w:rPr>
        <w:t xml:space="preserve">Peter Nygh, Autonomy in International Contracts (Oxford: Clarendon Press, 1999), </w:t>
      </w:r>
      <w:proofErr w:type="spellStart"/>
      <w:r w:rsidRPr="009A3F1E">
        <w:rPr>
          <w:rFonts w:ascii="Times New Roman" w:hAnsi="Times New Roman" w:cs="Times New Roman"/>
        </w:rPr>
        <w:t>hlm</w:t>
      </w:r>
      <w:proofErr w:type="spellEnd"/>
      <w:r w:rsidRPr="009A3F1E">
        <w:rPr>
          <w:rFonts w:ascii="Times New Roman" w:hAnsi="Times New Roman" w:cs="Times New Roman"/>
        </w:rPr>
        <w:t>. 31.</w:t>
      </w:r>
    </w:p>
    <w:p w14:paraId="3C00AA24" w14:textId="77777777" w:rsidR="00B04178" w:rsidRPr="009A3F1E" w:rsidRDefault="00B04178" w:rsidP="005752BD">
      <w:pPr>
        <w:ind w:left="720" w:hanging="720"/>
        <w:jc w:val="both"/>
        <w:rPr>
          <w:rFonts w:ascii="Times New Roman" w:hAnsi="Times New Roman" w:cs="Times New Roman"/>
        </w:rPr>
      </w:pPr>
      <w:r w:rsidRPr="009A3F1E">
        <w:rPr>
          <w:rFonts w:ascii="Times New Roman" w:hAnsi="Times New Roman" w:cs="Times New Roman"/>
        </w:rPr>
        <w:t xml:space="preserve">Peter Nygh, Autonomy in International Contracts (Oxford: Clarendon Press, 1999), </w:t>
      </w:r>
      <w:proofErr w:type="spellStart"/>
      <w:r w:rsidRPr="009A3F1E">
        <w:rPr>
          <w:rFonts w:ascii="Times New Roman" w:hAnsi="Times New Roman" w:cs="Times New Roman"/>
        </w:rPr>
        <w:t>hlm</w:t>
      </w:r>
      <w:proofErr w:type="spellEnd"/>
      <w:r w:rsidRPr="009A3F1E">
        <w:rPr>
          <w:rFonts w:ascii="Times New Roman" w:hAnsi="Times New Roman" w:cs="Times New Roman"/>
        </w:rPr>
        <w:t>. 45.</w:t>
      </w:r>
    </w:p>
    <w:p w14:paraId="008BF994" w14:textId="77777777" w:rsidR="00B04178" w:rsidRPr="006C2886" w:rsidRDefault="00B04178" w:rsidP="005752BD">
      <w:pPr>
        <w:ind w:left="720" w:hanging="720"/>
        <w:jc w:val="both"/>
        <w:rPr>
          <w:rFonts w:ascii="Times New Roman" w:hAnsi="Times New Roman" w:cs="Times New Roman"/>
        </w:rPr>
      </w:pPr>
      <w:r w:rsidRPr="006C2886">
        <w:rPr>
          <w:rFonts w:ascii="Times New Roman" w:hAnsi="Times New Roman" w:cs="Times New Roman"/>
        </w:rPr>
        <w:t>Presidential Decree No. 34 of 1981 concerning the Ratification of the 1958 New York Convention.</w:t>
      </w:r>
    </w:p>
    <w:p w14:paraId="14F255B8" w14:textId="77777777" w:rsidR="00B04178" w:rsidRPr="009A3F1E" w:rsidRDefault="00B04178" w:rsidP="005752BD">
      <w:pPr>
        <w:ind w:left="720" w:hanging="720"/>
        <w:jc w:val="both"/>
        <w:rPr>
          <w:rFonts w:ascii="Times New Roman" w:hAnsi="Times New Roman" w:cs="Times New Roman"/>
        </w:rPr>
      </w:pPr>
      <w:r w:rsidRPr="009A3F1E">
        <w:rPr>
          <w:rFonts w:ascii="Times New Roman" w:hAnsi="Times New Roman" w:cs="Times New Roman"/>
        </w:rPr>
        <w:t>Regulation (EC) No. 593/2008 of the European Parliament and of the Council of 17 June 2008 on the Law Applicable to Contractual Obligations (Rome I), Pasal 3 dan Pasal 4.</w:t>
      </w:r>
    </w:p>
    <w:p w14:paraId="2FCF3B1A" w14:textId="77777777" w:rsidR="00B04178" w:rsidRPr="006C2886" w:rsidRDefault="00B04178" w:rsidP="005752BD">
      <w:pPr>
        <w:ind w:left="720" w:hanging="720"/>
        <w:jc w:val="both"/>
        <w:rPr>
          <w:rFonts w:ascii="Times New Roman" w:hAnsi="Times New Roman" w:cs="Times New Roman"/>
        </w:rPr>
      </w:pPr>
      <w:r w:rsidRPr="006C2886">
        <w:rPr>
          <w:rFonts w:ascii="Times New Roman" w:hAnsi="Times New Roman" w:cs="Times New Roman"/>
        </w:rPr>
        <w:t>Ridwan Khairandy, Indonesian Contract Law in Comparative Perspective (Yogyakarta: FH UII Press, 2014), p. 84.</w:t>
      </w:r>
    </w:p>
    <w:p w14:paraId="3C1B2FD2" w14:textId="77777777" w:rsidR="00B04178" w:rsidRPr="006C2886" w:rsidRDefault="00B04178" w:rsidP="005752BD">
      <w:pPr>
        <w:ind w:left="720" w:hanging="720"/>
        <w:jc w:val="both"/>
        <w:rPr>
          <w:rFonts w:ascii="Times New Roman" w:hAnsi="Times New Roman" w:cs="Times New Roman"/>
        </w:rPr>
      </w:pPr>
      <w:r w:rsidRPr="006C2886">
        <w:rPr>
          <w:rFonts w:ascii="Times New Roman" w:hAnsi="Times New Roman" w:cs="Times New Roman"/>
        </w:rPr>
        <w:t>Ridwan Khairandy, Indonesian Contract Law in Comparative Perspective (Yogyakarta: FH UII Press, 2014), p. 229.</w:t>
      </w:r>
    </w:p>
    <w:p w14:paraId="7A066589" w14:textId="77777777" w:rsidR="00B04178" w:rsidRPr="00956194" w:rsidRDefault="00B04178" w:rsidP="005752BD">
      <w:pPr>
        <w:spacing w:after="0" w:line="240" w:lineRule="auto"/>
        <w:ind w:left="720" w:hanging="720"/>
        <w:jc w:val="both"/>
        <w:rPr>
          <w:rFonts w:ascii="Times New Roman" w:eastAsia="Times New Roman" w:hAnsi="Times New Roman" w:cs="Times New Roman"/>
          <w:b/>
          <w:sz w:val="24"/>
          <w:szCs w:val="24"/>
        </w:rPr>
      </w:pPr>
      <w:r w:rsidRPr="009A3F1E">
        <w:rPr>
          <w:rFonts w:ascii="Times New Roman" w:hAnsi="Times New Roman" w:cs="Times New Roman"/>
        </w:rPr>
        <w:t xml:space="preserve">Satoshi Nakamoto, Bitcoin: A Peer-to-Peer Electronic Cash System (2008), </w:t>
      </w:r>
      <w:proofErr w:type="spellStart"/>
      <w:r w:rsidRPr="009A3F1E">
        <w:rPr>
          <w:rFonts w:ascii="Times New Roman" w:hAnsi="Times New Roman" w:cs="Times New Roman"/>
        </w:rPr>
        <w:t>hlm</w:t>
      </w:r>
      <w:proofErr w:type="spellEnd"/>
      <w:r w:rsidRPr="009A3F1E">
        <w:rPr>
          <w:rFonts w:ascii="Times New Roman" w:hAnsi="Times New Roman" w:cs="Times New Roman"/>
        </w:rPr>
        <w:t>. 1–3.</w:t>
      </w:r>
    </w:p>
    <w:p w14:paraId="627243FC" w14:textId="77777777" w:rsidR="00B04178" w:rsidRPr="009A3F1E" w:rsidRDefault="00B04178" w:rsidP="005752BD">
      <w:pPr>
        <w:ind w:left="720" w:hanging="720"/>
        <w:jc w:val="both"/>
        <w:rPr>
          <w:rFonts w:ascii="Times New Roman" w:hAnsi="Times New Roman" w:cs="Times New Roman"/>
        </w:rPr>
      </w:pPr>
      <w:proofErr w:type="spellStart"/>
      <w:r w:rsidRPr="009A3F1E">
        <w:rPr>
          <w:rFonts w:ascii="Times New Roman" w:hAnsi="Times New Roman" w:cs="Times New Roman"/>
        </w:rPr>
        <w:t>Sudargo</w:t>
      </w:r>
      <w:proofErr w:type="spellEnd"/>
      <w:r w:rsidRPr="009A3F1E">
        <w:rPr>
          <w:rFonts w:ascii="Times New Roman" w:hAnsi="Times New Roman" w:cs="Times New Roman"/>
        </w:rPr>
        <w:t xml:space="preserve"> Gautama, Indonesian International Civil Law, Volume I (Bandung: Alumni, 2010), pp. 18–22.</w:t>
      </w:r>
    </w:p>
    <w:p w14:paraId="54A70744" w14:textId="77777777" w:rsidR="00B04178" w:rsidRPr="009A3F1E" w:rsidRDefault="00B04178" w:rsidP="005752BD">
      <w:pPr>
        <w:ind w:left="720" w:hanging="720"/>
        <w:jc w:val="both"/>
        <w:rPr>
          <w:rFonts w:ascii="Times New Roman" w:hAnsi="Times New Roman" w:cs="Times New Roman"/>
        </w:rPr>
      </w:pPr>
      <w:proofErr w:type="spellStart"/>
      <w:r w:rsidRPr="009A3F1E">
        <w:rPr>
          <w:rFonts w:ascii="Times New Roman" w:hAnsi="Times New Roman" w:cs="Times New Roman"/>
        </w:rPr>
        <w:t>Sudargo</w:t>
      </w:r>
      <w:proofErr w:type="spellEnd"/>
      <w:r w:rsidRPr="009A3F1E">
        <w:rPr>
          <w:rFonts w:ascii="Times New Roman" w:hAnsi="Times New Roman" w:cs="Times New Roman"/>
        </w:rPr>
        <w:t xml:space="preserve"> Gautama, Indonesian International Civil Law, Volume I (Bandung: Alumni, 2010), p. 18.</w:t>
      </w:r>
    </w:p>
    <w:p w14:paraId="26CEAB0C" w14:textId="77777777" w:rsidR="00B04178" w:rsidRPr="009A3F1E" w:rsidRDefault="00B04178" w:rsidP="005752BD">
      <w:pPr>
        <w:ind w:left="720" w:hanging="720"/>
        <w:jc w:val="both"/>
        <w:rPr>
          <w:rFonts w:ascii="Times New Roman" w:hAnsi="Times New Roman" w:cs="Times New Roman"/>
        </w:rPr>
      </w:pPr>
      <w:proofErr w:type="spellStart"/>
      <w:r w:rsidRPr="009A3F1E">
        <w:rPr>
          <w:rFonts w:ascii="Times New Roman" w:hAnsi="Times New Roman" w:cs="Times New Roman"/>
        </w:rPr>
        <w:t>Sudargo</w:t>
      </w:r>
      <w:proofErr w:type="spellEnd"/>
      <w:r w:rsidRPr="009A3F1E">
        <w:rPr>
          <w:rFonts w:ascii="Times New Roman" w:hAnsi="Times New Roman" w:cs="Times New Roman"/>
        </w:rPr>
        <w:t xml:space="preserve"> Gautama, Indonesian International Civil Law, Volume I (Bandung: Alumni, 2010), p. 35.</w:t>
      </w:r>
    </w:p>
    <w:p w14:paraId="6184C20D" w14:textId="77777777" w:rsidR="00B04178" w:rsidRPr="006C2886" w:rsidRDefault="00B04178" w:rsidP="005752BD">
      <w:pPr>
        <w:ind w:left="720" w:hanging="720"/>
        <w:jc w:val="both"/>
        <w:rPr>
          <w:rFonts w:ascii="Times New Roman" w:hAnsi="Times New Roman" w:cs="Times New Roman"/>
        </w:rPr>
      </w:pPr>
      <w:proofErr w:type="spellStart"/>
      <w:r w:rsidRPr="006C2886">
        <w:rPr>
          <w:rFonts w:ascii="Times New Roman" w:hAnsi="Times New Roman" w:cs="Times New Roman"/>
        </w:rPr>
        <w:t>Sudargo</w:t>
      </w:r>
      <w:proofErr w:type="spellEnd"/>
      <w:r w:rsidRPr="006C2886">
        <w:rPr>
          <w:rFonts w:ascii="Times New Roman" w:hAnsi="Times New Roman" w:cs="Times New Roman"/>
        </w:rPr>
        <w:t xml:space="preserve"> Gautama, Indonesian International Civil Law, Volume I (Bandung: Alumni, 2002), pp. 15–18.</w:t>
      </w:r>
    </w:p>
    <w:p w14:paraId="3D154CA2" w14:textId="77777777" w:rsidR="00B04178" w:rsidRPr="006C2886" w:rsidRDefault="00B04178" w:rsidP="005752BD">
      <w:pPr>
        <w:ind w:left="720" w:hanging="720"/>
        <w:jc w:val="both"/>
        <w:rPr>
          <w:rFonts w:ascii="Times New Roman" w:hAnsi="Times New Roman" w:cs="Times New Roman"/>
        </w:rPr>
      </w:pPr>
      <w:proofErr w:type="spellStart"/>
      <w:r w:rsidRPr="006C2886">
        <w:rPr>
          <w:rFonts w:ascii="Times New Roman" w:hAnsi="Times New Roman" w:cs="Times New Roman"/>
        </w:rPr>
        <w:t>Sudargo</w:t>
      </w:r>
      <w:proofErr w:type="spellEnd"/>
      <w:r w:rsidRPr="006C2886">
        <w:rPr>
          <w:rFonts w:ascii="Times New Roman" w:hAnsi="Times New Roman" w:cs="Times New Roman"/>
        </w:rPr>
        <w:t xml:space="preserve"> Gautama, Indonesian International Civil Law, Volume I (Bandung: Alumni, 2002), p. 12.</w:t>
      </w:r>
    </w:p>
    <w:p w14:paraId="7529A982" w14:textId="77777777" w:rsidR="00B04178" w:rsidRPr="006C2886" w:rsidRDefault="00B04178" w:rsidP="005752BD">
      <w:pPr>
        <w:ind w:left="720" w:hanging="720"/>
        <w:jc w:val="both"/>
        <w:rPr>
          <w:rFonts w:ascii="Times New Roman" w:hAnsi="Times New Roman" w:cs="Times New Roman"/>
        </w:rPr>
      </w:pPr>
      <w:proofErr w:type="spellStart"/>
      <w:r w:rsidRPr="006C2886">
        <w:rPr>
          <w:rFonts w:ascii="Times New Roman" w:hAnsi="Times New Roman" w:cs="Times New Roman"/>
        </w:rPr>
        <w:t>Sudargo</w:t>
      </w:r>
      <w:proofErr w:type="spellEnd"/>
      <w:r w:rsidRPr="006C2886">
        <w:rPr>
          <w:rFonts w:ascii="Times New Roman" w:hAnsi="Times New Roman" w:cs="Times New Roman"/>
        </w:rPr>
        <w:t xml:space="preserve"> Gautama, Indonesian International Civil Law, Volume III (Bandung: Alumni, 2002), p. 118.</w:t>
      </w:r>
    </w:p>
    <w:p w14:paraId="5A58C514" w14:textId="77777777" w:rsidR="00B04178" w:rsidRPr="009A3F1E" w:rsidRDefault="00B04178" w:rsidP="005752BD">
      <w:pPr>
        <w:ind w:left="720" w:hanging="720"/>
        <w:jc w:val="both"/>
        <w:rPr>
          <w:rFonts w:ascii="Times New Roman" w:hAnsi="Times New Roman" w:cs="Times New Roman"/>
        </w:rPr>
      </w:pPr>
      <w:proofErr w:type="spellStart"/>
      <w:r w:rsidRPr="009A3F1E">
        <w:rPr>
          <w:rFonts w:ascii="Times New Roman" w:hAnsi="Times New Roman" w:cs="Times New Roman"/>
        </w:rPr>
        <w:t>Sudargo</w:t>
      </w:r>
      <w:proofErr w:type="spellEnd"/>
      <w:r w:rsidRPr="009A3F1E">
        <w:rPr>
          <w:rFonts w:ascii="Times New Roman" w:hAnsi="Times New Roman" w:cs="Times New Roman"/>
        </w:rPr>
        <w:t xml:space="preserve"> Gautama, Introduction to Indonesian International Civil Law (Bandung: </w:t>
      </w:r>
      <w:proofErr w:type="spellStart"/>
      <w:r w:rsidRPr="009A3F1E">
        <w:rPr>
          <w:rFonts w:ascii="Times New Roman" w:hAnsi="Times New Roman" w:cs="Times New Roman"/>
        </w:rPr>
        <w:t>Binacipta</w:t>
      </w:r>
      <w:proofErr w:type="spellEnd"/>
      <w:r w:rsidRPr="009A3F1E">
        <w:rPr>
          <w:rFonts w:ascii="Times New Roman" w:hAnsi="Times New Roman" w:cs="Times New Roman"/>
        </w:rPr>
        <w:t>, 2007), p. 97.</w:t>
      </w:r>
    </w:p>
    <w:p w14:paraId="1A8D7CFD" w14:textId="77777777" w:rsidR="00B04178" w:rsidRPr="006C2886" w:rsidRDefault="00B04178" w:rsidP="005752BD">
      <w:pPr>
        <w:ind w:left="720" w:hanging="720"/>
        <w:jc w:val="both"/>
        <w:rPr>
          <w:rFonts w:ascii="Times New Roman" w:hAnsi="Times New Roman" w:cs="Times New Roman"/>
        </w:rPr>
      </w:pPr>
      <w:r w:rsidRPr="006C2886">
        <w:rPr>
          <w:rFonts w:ascii="Times New Roman" w:hAnsi="Times New Roman" w:cs="Times New Roman"/>
        </w:rPr>
        <w:t>UNCITRAL Technical Notes on Online Dispute Resolution (2016).</w:t>
      </w:r>
    </w:p>
    <w:p w14:paraId="4100BEE4" w14:textId="77777777" w:rsidR="00B04178" w:rsidRPr="009A3F1E" w:rsidRDefault="00B04178" w:rsidP="005752BD">
      <w:pPr>
        <w:ind w:left="720" w:hanging="720"/>
        <w:jc w:val="both"/>
        <w:rPr>
          <w:rFonts w:ascii="Times New Roman" w:hAnsi="Times New Roman" w:cs="Times New Roman"/>
        </w:rPr>
      </w:pPr>
      <w:r w:rsidRPr="009A3F1E">
        <w:rPr>
          <w:rFonts w:ascii="Times New Roman" w:hAnsi="Times New Roman" w:cs="Times New Roman"/>
        </w:rPr>
        <w:t>UNCITRAL, Model Law on Electronic Commerce (New York: United Nations, 1996).</w:t>
      </w:r>
    </w:p>
    <w:p w14:paraId="54A80785" w14:textId="77777777" w:rsidR="00B04178" w:rsidRPr="006C2886" w:rsidRDefault="00B04178" w:rsidP="005752BD">
      <w:pPr>
        <w:ind w:left="720" w:hanging="720"/>
        <w:jc w:val="both"/>
        <w:rPr>
          <w:rFonts w:ascii="Times New Roman" w:hAnsi="Times New Roman" w:cs="Times New Roman"/>
        </w:rPr>
      </w:pPr>
      <w:r w:rsidRPr="006C2886">
        <w:rPr>
          <w:rFonts w:ascii="Times New Roman" w:hAnsi="Times New Roman" w:cs="Times New Roman"/>
        </w:rPr>
        <w:t>UNCITRAL, Model Law on Electronic Commerce 1996.</w:t>
      </w:r>
    </w:p>
    <w:p w14:paraId="4D355939" w14:textId="77777777" w:rsidR="00B04178" w:rsidRPr="005F15CE" w:rsidRDefault="00B04178" w:rsidP="005752BD">
      <w:pPr>
        <w:ind w:left="720" w:hanging="720"/>
        <w:jc w:val="both"/>
        <w:rPr>
          <w:rFonts w:ascii="Times New Roman" w:hAnsi="Times New Roman" w:cs="Times New Roman"/>
        </w:rPr>
      </w:pPr>
      <w:r w:rsidRPr="009A3F1E">
        <w:rPr>
          <w:rFonts w:ascii="Times New Roman" w:hAnsi="Times New Roman" w:cs="Times New Roman"/>
        </w:rPr>
        <w:t xml:space="preserve">UNIDROIT, Principles on Digital Assets and Private Law (Rome: UNIDROIT, 2023), </w:t>
      </w:r>
      <w:proofErr w:type="spellStart"/>
      <w:r w:rsidRPr="009A3F1E">
        <w:rPr>
          <w:rFonts w:ascii="Times New Roman" w:hAnsi="Times New Roman" w:cs="Times New Roman"/>
        </w:rPr>
        <w:t>hlm</w:t>
      </w:r>
      <w:proofErr w:type="spellEnd"/>
      <w:r w:rsidRPr="009A3F1E">
        <w:rPr>
          <w:rFonts w:ascii="Times New Roman" w:hAnsi="Times New Roman" w:cs="Times New Roman"/>
        </w:rPr>
        <w:t>. 7–10.</w:t>
      </w:r>
    </w:p>
    <w:p w14:paraId="12ACCCBB" w14:textId="77777777" w:rsidR="00B04178" w:rsidRPr="009A3F1E" w:rsidRDefault="00B04178" w:rsidP="005752BD">
      <w:pPr>
        <w:ind w:left="720" w:hanging="720"/>
        <w:jc w:val="both"/>
        <w:rPr>
          <w:rFonts w:ascii="Times New Roman" w:hAnsi="Times New Roman" w:cs="Times New Roman"/>
        </w:rPr>
      </w:pPr>
      <w:r w:rsidRPr="009A3F1E">
        <w:rPr>
          <w:rFonts w:ascii="Times New Roman" w:hAnsi="Times New Roman" w:cs="Times New Roman"/>
        </w:rPr>
        <w:t xml:space="preserve">UNIDROIT, Principles on Digital Assets and Private Law (Rome: UNIDROIT, 2023), </w:t>
      </w:r>
      <w:proofErr w:type="spellStart"/>
      <w:r w:rsidRPr="009A3F1E">
        <w:rPr>
          <w:rFonts w:ascii="Times New Roman" w:hAnsi="Times New Roman" w:cs="Times New Roman"/>
        </w:rPr>
        <w:t>hlm</w:t>
      </w:r>
      <w:proofErr w:type="spellEnd"/>
      <w:r w:rsidRPr="009A3F1E">
        <w:rPr>
          <w:rFonts w:ascii="Times New Roman" w:hAnsi="Times New Roman" w:cs="Times New Roman"/>
        </w:rPr>
        <w:t>. 14.</w:t>
      </w:r>
    </w:p>
    <w:p w14:paraId="0A36E06D" w14:textId="77777777" w:rsidR="00B04178" w:rsidRPr="009A3F1E" w:rsidRDefault="00B04178" w:rsidP="005752BD">
      <w:pPr>
        <w:ind w:left="720" w:hanging="720"/>
        <w:jc w:val="both"/>
        <w:rPr>
          <w:rFonts w:ascii="Times New Roman" w:hAnsi="Times New Roman" w:cs="Times New Roman"/>
        </w:rPr>
      </w:pPr>
      <w:r w:rsidRPr="009A3F1E">
        <w:rPr>
          <w:rFonts w:ascii="Times New Roman" w:hAnsi="Times New Roman" w:cs="Times New Roman"/>
        </w:rPr>
        <w:t>UNIDROIT, Principles on Digital Assets and Private Law (Rome: UNIDROIT, 2023); UNCITRAL, Model Law on Electronic Commerce (1996).</w:t>
      </w:r>
    </w:p>
    <w:p w14:paraId="059F1824" w14:textId="77777777" w:rsidR="003178A6" w:rsidRPr="00556502" w:rsidRDefault="003178A6" w:rsidP="003178A6">
      <w:pPr>
        <w:rPr>
          <w:rFonts w:ascii="Times New Roman" w:eastAsia="Times New Roman" w:hAnsi="Times New Roman" w:cs="Times New Roman"/>
          <w:bCs/>
          <w:sz w:val="24"/>
          <w:szCs w:val="24"/>
        </w:rPr>
      </w:pPr>
    </w:p>
    <w:p w14:paraId="436DCEAE" w14:textId="77777777" w:rsidR="003178A6" w:rsidRPr="00556502" w:rsidRDefault="003178A6" w:rsidP="003178A6">
      <w:pPr>
        <w:rPr>
          <w:rFonts w:ascii="Times New Roman" w:hAnsi="Times New Roman" w:cs="Times New Roman"/>
        </w:rPr>
      </w:pPr>
    </w:p>
    <w:p w14:paraId="32302666" w14:textId="74B86505" w:rsidR="00765FAD" w:rsidRPr="00956194" w:rsidRDefault="00765FAD" w:rsidP="006B07C3">
      <w:pPr>
        <w:rPr>
          <w:rFonts w:ascii="Times New Roman" w:hAnsi="Times New Roman" w:cs="Times New Roman"/>
        </w:rPr>
      </w:pPr>
    </w:p>
    <w:sectPr w:rsidR="00765FAD" w:rsidRPr="0095619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E5050" w14:textId="77777777" w:rsidR="00970E50" w:rsidRDefault="00970E50" w:rsidP="0009793C">
      <w:pPr>
        <w:spacing w:after="0" w:line="240" w:lineRule="auto"/>
      </w:pPr>
      <w:r>
        <w:separator/>
      </w:r>
    </w:p>
  </w:endnote>
  <w:endnote w:type="continuationSeparator" w:id="0">
    <w:p w14:paraId="69C31350" w14:textId="77777777" w:rsidR="00970E50" w:rsidRDefault="00970E50" w:rsidP="00097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7CF27" w14:textId="77777777" w:rsidR="005340A2" w:rsidRDefault="005340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1911392"/>
      <w:docPartObj>
        <w:docPartGallery w:val="Page Numbers (Bottom of Page)"/>
        <w:docPartUnique/>
      </w:docPartObj>
    </w:sdtPr>
    <w:sdtEndPr>
      <w:rPr>
        <w:noProof/>
      </w:rPr>
    </w:sdtEndPr>
    <w:sdtContent>
      <w:p w14:paraId="7F3D6A66" w14:textId="77777777" w:rsidR="001436D8" w:rsidRDefault="001436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27CD47" w14:textId="77777777" w:rsidR="00B92BA9" w:rsidRDefault="00B92BA9">
    <w:pPr>
      <w:tabs>
        <w:tab w:val="center" w:pos="4513"/>
        <w:tab w:val="right" w:pos="9026"/>
      </w:tabs>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559C3" w14:textId="77777777" w:rsidR="005340A2" w:rsidRDefault="005340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90AC8" w14:textId="77777777" w:rsidR="00970E50" w:rsidRDefault="00970E50" w:rsidP="0009793C">
      <w:pPr>
        <w:spacing w:after="0" w:line="240" w:lineRule="auto"/>
      </w:pPr>
      <w:r>
        <w:separator/>
      </w:r>
    </w:p>
  </w:footnote>
  <w:footnote w:type="continuationSeparator" w:id="0">
    <w:p w14:paraId="102A70F0" w14:textId="77777777" w:rsidR="00970E50" w:rsidRDefault="00970E50" w:rsidP="0009793C">
      <w:pPr>
        <w:spacing w:after="0" w:line="240" w:lineRule="auto"/>
      </w:pPr>
      <w:r>
        <w:continuationSeparator/>
      </w:r>
    </w:p>
  </w:footnote>
  <w:footnote w:id="1">
    <w:p w14:paraId="59E74CAF" w14:textId="582A9BB8" w:rsidR="00B22F4E" w:rsidRPr="00B22F4E" w:rsidRDefault="00B22F4E">
      <w:pPr>
        <w:pStyle w:val="FootnoteText"/>
        <w:rPr>
          <w:lang w:val="en-GB"/>
        </w:rPr>
      </w:pPr>
      <w:r>
        <w:rPr>
          <w:rStyle w:val="FootnoteReference"/>
        </w:rPr>
        <w:footnoteRef/>
      </w:r>
      <w:r>
        <w:t xml:space="preserve"> </w:t>
      </w:r>
      <w:r w:rsidR="009D1874" w:rsidRPr="00556502">
        <w:rPr>
          <w:rFonts w:ascii="Times New Roman" w:hAnsi="Times New Roman" w:cs="Times New Roman"/>
        </w:rPr>
        <w:t>Ahmadi Miru &amp; Sutarman Yodo, Consumer Protection Law (Jakarta: RajaGrafindo Persada, 2015), pp. 1–5.</w:t>
      </w:r>
    </w:p>
  </w:footnote>
  <w:footnote w:id="2">
    <w:p w14:paraId="610EA3E4" w14:textId="78A2B0B9" w:rsidR="00B22F4E" w:rsidRPr="00B22F4E" w:rsidRDefault="00B22F4E">
      <w:pPr>
        <w:pStyle w:val="FootnoteText"/>
        <w:rPr>
          <w:lang w:val="en-GB"/>
        </w:rPr>
      </w:pPr>
      <w:r>
        <w:rPr>
          <w:rStyle w:val="FootnoteReference"/>
        </w:rPr>
        <w:footnoteRef/>
      </w:r>
      <w:r>
        <w:t xml:space="preserve"> </w:t>
      </w:r>
      <w:r w:rsidR="009D1874" w:rsidRPr="00556502">
        <w:rPr>
          <w:rFonts w:ascii="Times New Roman" w:hAnsi="Times New Roman" w:cs="Times New Roman"/>
        </w:rPr>
        <w:t>Law Number 8 of 1999 concerning Consumer Protection; Law Number 1 of 2024 concerning the Second Amendment to Law Number 11 of 2008 concerning Information and Electronic Transactions.</w:t>
      </w:r>
    </w:p>
  </w:footnote>
  <w:footnote w:id="3">
    <w:p w14:paraId="04FBE000" w14:textId="3DDDC9CA" w:rsidR="00B22F4E" w:rsidRPr="00B22F4E" w:rsidRDefault="00B22F4E">
      <w:pPr>
        <w:pStyle w:val="FootnoteText"/>
        <w:rPr>
          <w:lang w:val="en-GB"/>
        </w:rPr>
      </w:pPr>
      <w:r>
        <w:rPr>
          <w:rStyle w:val="FootnoteReference"/>
        </w:rPr>
        <w:footnoteRef/>
      </w:r>
      <w:r>
        <w:t xml:space="preserve"> </w:t>
      </w:r>
      <w:r w:rsidR="009D1874" w:rsidRPr="00556502">
        <w:rPr>
          <w:rFonts w:ascii="Times New Roman" w:hAnsi="Times New Roman" w:cs="Times New Roman"/>
        </w:rPr>
        <w:t>Sudargo Gautama, Indonesian International Civil Law, Volume I (Bandung: Alumni, 2002), pp. 15–18.</w:t>
      </w:r>
    </w:p>
  </w:footnote>
  <w:footnote w:id="4">
    <w:p w14:paraId="5676D7F0" w14:textId="2A126A54" w:rsidR="00B22F4E" w:rsidRPr="00B22F4E" w:rsidRDefault="00B22F4E">
      <w:pPr>
        <w:pStyle w:val="FootnoteText"/>
        <w:rPr>
          <w:lang w:val="en-GB"/>
        </w:rPr>
      </w:pPr>
      <w:r>
        <w:rPr>
          <w:rStyle w:val="FootnoteReference"/>
        </w:rPr>
        <w:footnoteRef/>
      </w:r>
      <w:r>
        <w:t xml:space="preserve"> </w:t>
      </w:r>
      <w:r w:rsidR="009D1874" w:rsidRPr="00556502">
        <w:rPr>
          <w:rFonts w:ascii="Times New Roman" w:hAnsi="Times New Roman" w:cs="Times New Roman"/>
        </w:rPr>
        <w:t>Hikmahanto Juwana, International Law in Indonesian Perspective (Jakarta: Yayasan Obor Indonesia, 2010), pp. 214–220</w:t>
      </w:r>
    </w:p>
  </w:footnote>
  <w:footnote w:id="5">
    <w:p w14:paraId="5EE61239" w14:textId="476274A6" w:rsidR="00B22F4E" w:rsidRPr="00B22F4E" w:rsidRDefault="00B22F4E">
      <w:pPr>
        <w:pStyle w:val="FootnoteText"/>
        <w:rPr>
          <w:lang w:val="en-GB"/>
        </w:rPr>
      </w:pPr>
      <w:r>
        <w:rPr>
          <w:rStyle w:val="FootnoteReference"/>
        </w:rPr>
        <w:footnoteRef/>
      </w:r>
      <w:r>
        <w:t xml:space="preserve"> </w:t>
      </w:r>
      <w:r w:rsidR="009D1874" w:rsidRPr="00556502">
        <w:rPr>
          <w:rFonts w:ascii="Times New Roman" w:hAnsi="Times New Roman" w:cs="Times New Roman"/>
        </w:rPr>
        <w:t xml:space="preserve">Peter Mahmud Marzuki, Legal Research (Jakarta: </w:t>
      </w:r>
      <w:r w:rsidR="009D1874" w:rsidRPr="00556502">
        <w:rPr>
          <w:rFonts w:ascii="Times New Roman" w:hAnsi="Times New Roman" w:cs="Times New Roman"/>
        </w:rPr>
        <w:t>Kencana, 2021), pp. 87–90.</w:t>
      </w:r>
    </w:p>
  </w:footnote>
  <w:footnote w:id="6">
    <w:p w14:paraId="64CB3372" w14:textId="232B7B4D" w:rsidR="00B22F4E" w:rsidRPr="00B22F4E" w:rsidRDefault="00B22F4E">
      <w:pPr>
        <w:pStyle w:val="FootnoteText"/>
        <w:rPr>
          <w:lang w:val="en-GB"/>
        </w:rPr>
      </w:pPr>
      <w:r>
        <w:rPr>
          <w:rStyle w:val="FootnoteReference"/>
        </w:rPr>
        <w:footnoteRef/>
      </w:r>
      <w:r>
        <w:t xml:space="preserve"> </w:t>
      </w:r>
      <w:r w:rsidR="009D1874" w:rsidRPr="00556502">
        <w:rPr>
          <w:rFonts w:ascii="Times New Roman" w:hAnsi="Times New Roman" w:cs="Times New Roman"/>
        </w:rPr>
        <w:t>Sudargo Gautama, Indonesian International Civil Law, Volume I (Bandung: Alumni, 2002), p. 12.</w:t>
      </w:r>
    </w:p>
  </w:footnote>
  <w:footnote w:id="7">
    <w:p w14:paraId="32FEB864" w14:textId="0FA3F287" w:rsidR="009D1874" w:rsidRPr="009D1874" w:rsidRDefault="009D1874">
      <w:pPr>
        <w:pStyle w:val="FootnoteText"/>
        <w:rPr>
          <w:lang w:val="en-GB"/>
        </w:rPr>
      </w:pPr>
      <w:r>
        <w:rPr>
          <w:rStyle w:val="FootnoteReference"/>
        </w:rPr>
        <w:footnoteRef/>
      </w:r>
      <w:r>
        <w:t xml:space="preserve"> </w:t>
      </w:r>
      <w:r w:rsidRPr="00556502">
        <w:rPr>
          <w:rFonts w:ascii="Times New Roman" w:hAnsi="Times New Roman" w:cs="Times New Roman"/>
        </w:rPr>
        <w:t>Law Number 8 of 1999 concerning Consumer Protection, Article 4.</w:t>
      </w:r>
    </w:p>
  </w:footnote>
  <w:footnote w:id="8">
    <w:p w14:paraId="17047F17" w14:textId="5B8AAAD3" w:rsidR="009D1874" w:rsidRPr="009D1874" w:rsidRDefault="009D1874">
      <w:pPr>
        <w:pStyle w:val="FootnoteText"/>
        <w:rPr>
          <w:lang w:val="en-GB"/>
        </w:rPr>
      </w:pPr>
      <w:r>
        <w:rPr>
          <w:rStyle w:val="FootnoteReference"/>
        </w:rPr>
        <w:footnoteRef/>
      </w:r>
      <w:r>
        <w:t xml:space="preserve"> </w:t>
      </w:r>
      <w:r w:rsidRPr="00556502">
        <w:rPr>
          <w:rFonts w:ascii="Times New Roman" w:hAnsi="Times New Roman" w:cs="Times New Roman"/>
        </w:rPr>
        <w:t>Law Number 1 of 2024 concerning the Second Amendment to Law Number 11 of 2008 concerning Information and Electronic Transactions.</w:t>
      </w:r>
    </w:p>
  </w:footnote>
  <w:footnote w:id="9">
    <w:p w14:paraId="2C4EB1D1" w14:textId="18B2CE58" w:rsidR="009D1874" w:rsidRPr="009D1874" w:rsidRDefault="009D1874">
      <w:pPr>
        <w:pStyle w:val="FootnoteText"/>
        <w:rPr>
          <w:lang w:val="en-GB"/>
        </w:rPr>
      </w:pPr>
      <w:r>
        <w:rPr>
          <w:rStyle w:val="FootnoteReference"/>
        </w:rPr>
        <w:footnoteRef/>
      </w:r>
      <w:r>
        <w:t xml:space="preserve"> </w:t>
      </w:r>
      <w:r w:rsidRPr="00556502">
        <w:rPr>
          <w:rFonts w:ascii="Times New Roman" w:hAnsi="Times New Roman" w:cs="Times New Roman"/>
        </w:rPr>
        <w:t>Ridwan Khairandy, Indonesian Contract Law in Comparative Perspective (Yogyakarta: FH UII Press, 2014), p. 84.</w:t>
      </w:r>
    </w:p>
  </w:footnote>
  <w:footnote w:id="10">
    <w:p w14:paraId="193360AA" w14:textId="1EC0F34D" w:rsidR="009D1874" w:rsidRPr="009D1874" w:rsidRDefault="009D1874">
      <w:pPr>
        <w:pStyle w:val="FootnoteText"/>
        <w:rPr>
          <w:lang w:val="en-GB"/>
        </w:rPr>
      </w:pPr>
      <w:r>
        <w:rPr>
          <w:rStyle w:val="FootnoteReference"/>
        </w:rPr>
        <w:footnoteRef/>
      </w:r>
      <w:r>
        <w:t xml:space="preserve"> </w:t>
      </w:r>
      <w:r w:rsidRPr="00556502">
        <w:rPr>
          <w:rFonts w:ascii="Times New Roman" w:hAnsi="Times New Roman" w:cs="Times New Roman"/>
        </w:rPr>
        <w:t>UNCITRAL, Model Law on Electronic Commerce 1996.</w:t>
      </w:r>
    </w:p>
  </w:footnote>
  <w:footnote w:id="11">
    <w:p w14:paraId="7387D351" w14:textId="1CCB1EAE" w:rsidR="009D1874" w:rsidRPr="009D1874" w:rsidRDefault="009D1874">
      <w:pPr>
        <w:pStyle w:val="FootnoteText"/>
        <w:rPr>
          <w:lang w:val="en-GB"/>
        </w:rPr>
      </w:pPr>
      <w:r>
        <w:rPr>
          <w:rStyle w:val="FootnoteReference"/>
        </w:rPr>
        <w:footnoteRef/>
      </w:r>
      <w:r>
        <w:t xml:space="preserve"> </w:t>
      </w:r>
      <w:r w:rsidRPr="00556502">
        <w:rPr>
          <w:rFonts w:ascii="Times New Roman" w:hAnsi="Times New Roman" w:cs="Times New Roman"/>
        </w:rPr>
        <w:t>Hikmahanto Juwana, International Law in Indonesian Perspective (Jakarta: Yayasan Obor Indonesia, 2010), p. 221.</w:t>
      </w:r>
    </w:p>
  </w:footnote>
  <w:footnote w:id="12">
    <w:p w14:paraId="16E44BBC" w14:textId="24F8D408" w:rsidR="009D1874" w:rsidRPr="009D1874" w:rsidRDefault="009D1874">
      <w:pPr>
        <w:pStyle w:val="FootnoteText"/>
        <w:rPr>
          <w:lang w:val="en-GB"/>
        </w:rPr>
      </w:pPr>
      <w:r>
        <w:rPr>
          <w:rStyle w:val="FootnoteReference"/>
        </w:rPr>
        <w:footnoteRef/>
      </w:r>
      <w:r>
        <w:t xml:space="preserve"> </w:t>
      </w:r>
      <w:r w:rsidRPr="00556502">
        <w:rPr>
          <w:rFonts w:ascii="Times New Roman" w:hAnsi="Times New Roman" w:cs="Times New Roman"/>
        </w:rPr>
        <w:t xml:space="preserve">Ahmadi Miru and Sutarman Yodo, Consumer Protection Law (Jakarta: </w:t>
      </w:r>
      <w:r w:rsidRPr="00556502">
        <w:rPr>
          <w:rFonts w:ascii="Times New Roman" w:hAnsi="Times New Roman" w:cs="Times New Roman"/>
        </w:rPr>
        <w:t>RajaGrafindo Persada, 2015), p. 39 Peter Mahmud Marzuki, Introduction to Law (Jakarta: Kencana, 2021), p. 315.</w:t>
      </w:r>
    </w:p>
  </w:footnote>
  <w:footnote w:id="13">
    <w:p w14:paraId="02FFF55D" w14:textId="1AE18644" w:rsidR="009D1874" w:rsidRPr="009D1874" w:rsidRDefault="009D1874">
      <w:pPr>
        <w:pStyle w:val="FootnoteText"/>
        <w:rPr>
          <w:lang w:val="en-GB"/>
        </w:rPr>
      </w:pPr>
      <w:r>
        <w:rPr>
          <w:rStyle w:val="FootnoteReference"/>
        </w:rPr>
        <w:footnoteRef/>
      </w:r>
      <w:r>
        <w:t xml:space="preserve"> </w:t>
      </w:r>
      <w:r w:rsidRPr="00556502">
        <w:rPr>
          <w:rFonts w:ascii="Times New Roman" w:hAnsi="Times New Roman" w:cs="Times New Roman"/>
        </w:rPr>
        <w:t xml:space="preserve">Peter Mahmud Marzuki, Introduction to Law (Jakarta: </w:t>
      </w:r>
      <w:r w:rsidRPr="00556502">
        <w:rPr>
          <w:rFonts w:ascii="Times New Roman" w:hAnsi="Times New Roman" w:cs="Times New Roman"/>
        </w:rPr>
        <w:t>Kencana, 2021), p. 315.</w:t>
      </w:r>
    </w:p>
  </w:footnote>
  <w:footnote w:id="14">
    <w:p w14:paraId="626C2FC7" w14:textId="11E800DF" w:rsidR="009D1874" w:rsidRPr="009D1874" w:rsidRDefault="009D1874">
      <w:pPr>
        <w:pStyle w:val="FootnoteText"/>
        <w:rPr>
          <w:lang w:val="en-GB"/>
        </w:rPr>
      </w:pPr>
      <w:r>
        <w:rPr>
          <w:rStyle w:val="FootnoteReference"/>
        </w:rPr>
        <w:footnoteRef/>
      </w:r>
      <w:r>
        <w:t xml:space="preserve"> </w:t>
      </w:r>
      <w:r w:rsidRPr="00556502">
        <w:rPr>
          <w:rFonts w:ascii="Times New Roman" w:hAnsi="Times New Roman" w:cs="Times New Roman"/>
        </w:rPr>
        <w:t>Law Number 30 of 1999 concerning Arbitration and Alternative Dispute Resolution.</w:t>
      </w:r>
    </w:p>
  </w:footnote>
  <w:footnote w:id="15">
    <w:p w14:paraId="38D85A92" w14:textId="1B38E3BC" w:rsidR="009D1874" w:rsidRPr="009D1874" w:rsidRDefault="009D1874">
      <w:pPr>
        <w:pStyle w:val="FootnoteText"/>
        <w:rPr>
          <w:lang w:val="en-GB"/>
        </w:rPr>
      </w:pPr>
      <w:r>
        <w:rPr>
          <w:rStyle w:val="FootnoteReference"/>
        </w:rPr>
        <w:footnoteRef/>
      </w:r>
      <w:r>
        <w:t xml:space="preserve"> </w:t>
      </w:r>
      <w:r w:rsidRPr="00556502">
        <w:rPr>
          <w:rFonts w:ascii="Times New Roman" w:hAnsi="Times New Roman" w:cs="Times New Roman"/>
        </w:rPr>
        <w:t>Convention on the Recognition and Enforcement of Foreign Arbitral Awards (New York Convention 1958).</w:t>
      </w:r>
    </w:p>
  </w:footnote>
  <w:footnote w:id="16">
    <w:p w14:paraId="5C1A3DE0" w14:textId="469E0544" w:rsidR="009D1874" w:rsidRPr="009D1874" w:rsidRDefault="009D1874">
      <w:pPr>
        <w:pStyle w:val="FootnoteText"/>
        <w:rPr>
          <w:lang w:val="en-GB"/>
        </w:rPr>
      </w:pPr>
      <w:r>
        <w:rPr>
          <w:rStyle w:val="FootnoteReference"/>
        </w:rPr>
        <w:footnoteRef/>
      </w:r>
      <w:r>
        <w:t xml:space="preserve"> </w:t>
      </w:r>
      <w:r w:rsidRPr="00556502">
        <w:rPr>
          <w:rFonts w:ascii="Times New Roman" w:hAnsi="Times New Roman" w:cs="Times New Roman"/>
        </w:rPr>
        <w:t>Presidential Decree No. 34 of 1981 concerning the Ratification of the 1958 New York Convention.</w:t>
      </w:r>
    </w:p>
  </w:footnote>
  <w:footnote w:id="17">
    <w:p w14:paraId="3B784D10" w14:textId="363A6667" w:rsidR="009D1874" w:rsidRPr="009D1874" w:rsidRDefault="009D1874">
      <w:pPr>
        <w:pStyle w:val="FootnoteText"/>
        <w:rPr>
          <w:lang w:val="en-GB"/>
        </w:rPr>
      </w:pPr>
      <w:r>
        <w:rPr>
          <w:rStyle w:val="FootnoteReference"/>
        </w:rPr>
        <w:footnoteRef/>
      </w:r>
      <w:r>
        <w:t xml:space="preserve"> </w:t>
      </w:r>
      <w:r w:rsidR="003178A6" w:rsidRPr="00556502">
        <w:rPr>
          <w:rFonts w:ascii="Times New Roman" w:hAnsi="Times New Roman" w:cs="Times New Roman"/>
        </w:rPr>
        <w:t>Sudargo Gautama, Indonesian International Civil Law, Volume III (Bandung: Alumni, 2002), p. 118.</w:t>
      </w:r>
    </w:p>
  </w:footnote>
  <w:footnote w:id="18">
    <w:p w14:paraId="4344A171" w14:textId="3321C562" w:rsidR="009D1874" w:rsidRPr="003A0CBF" w:rsidRDefault="009D1874">
      <w:pPr>
        <w:pStyle w:val="FootnoteText"/>
        <w:rPr>
          <w:lang w:val="fi-FI"/>
        </w:rPr>
      </w:pPr>
      <w:r>
        <w:rPr>
          <w:rStyle w:val="FootnoteReference"/>
        </w:rPr>
        <w:footnoteRef/>
      </w:r>
      <w:r w:rsidRPr="003A0CBF">
        <w:rPr>
          <w:lang w:val="fi-FI"/>
        </w:rPr>
        <w:t xml:space="preserve"> </w:t>
      </w:r>
      <w:r w:rsidR="003178A6" w:rsidRPr="003A0CBF">
        <w:rPr>
          <w:rFonts w:ascii="Times New Roman" w:hAnsi="Times New Roman" w:cs="Times New Roman"/>
          <w:lang w:val="fi-FI"/>
        </w:rPr>
        <w:t>M. Yahya Harahap, Arbitration (Jakarta: Sinar Grafika, 2004), p. 45.</w:t>
      </w:r>
    </w:p>
  </w:footnote>
  <w:footnote w:id="19">
    <w:p w14:paraId="583E0D67" w14:textId="69652B8F" w:rsidR="009D1874" w:rsidRPr="009D1874" w:rsidRDefault="009D1874">
      <w:pPr>
        <w:pStyle w:val="FootnoteText"/>
        <w:rPr>
          <w:lang w:val="en-GB"/>
        </w:rPr>
      </w:pPr>
      <w:r>
        <w:rPr>
          <w:rStyle w:val="FootnoteReference"/>
        </w:rPr>
        <w:footnoteRef/>
      </w:r>
      <w:r>
        <w:t xml:space="preserve"> </w:t>
      </w:r>
      <w:r w:rsidR="003178A6" w:rsidRPr="00556502">
        <w:rPr>
          <w:rFonts w:ascii="Times New Roman" w:hAnsi="Times New Roman" w:cs="Times New Roman"/>
        </w:rPr>
        <w:t>Hikmahanto Juwana, International Law in Indonesian Perspective (Jakarta: Yayasan Obor Indonesia, 2010), p. 287.</w:t>
      </w:r>
    </w:p>
  </w:footnote>
  <w:footnote w:id="20">
    <w:p w14:paraId="4221A8F0" w14:textId="6A031549" w:rsidR="009D1874" w:rsidRPr="009D1874" w:rsidRDefault="009D1874">
      <w:pPr>
        <w:pStyle w:val="FootnoteText"/>
        <w:rPr>
          <w:lang w:val="en-GB"/>
        </w:rPr>
      </w:pPr>
      <w:r>
        <w:rPr>
          <w:rStyle w:val="FootnoteReference"/>
        </w:rPr>
        <w:footnoteRef/>
      </w:r>
      <w:r>
        <w:t xml:space="preserve"> </w:t>
      </w:r>
      <w:r w:rsidR="003178A6" w:rsidRPr="00556502">
        <w:rPr>
          <w:rFonts w:ascii="Times New Roman" w:hAnsi="Times New Roman" w:cs="Times New Roman"/>
        </w:rPr>
        <w:t>Erman Rajagukguk, Arbitration in Business Practice (Jakarta: Chandra Pratama, 2016), p. 96.</w:t>
      </w:r>
    </w:p>
  </w:footnote>
  <w:footnote w:id="21">
    <w:p w14:paraId="3803F191" w14:textId="7687DB4E" w:rsidR="009D1874" w:rsidRPr="009D1874" w:rsidRDefault="009D1874">
      <w:pPr>
        <w:pStyle w:val="FootnoteText"/>
        <w:rPr>
          <w:lang w:val="en-GB"/>
        </w:rPr>
      </w:pPr>
      <w:r>
        <w:rPr>
          <w:rStyle w:val="FootnoteReference"/>
        </w:rPr>
        <w:footnoteRef/>
      </w:r>
      <w:r>
        <w:t xml:space="preserve"> </w:t>
      </w:r>
      <w:r w:rsidR="003178A6" w:rsidRPr="00556502">
        <w:rPr>
          <w:rFonts w:ascii="Times New Roman" w:hAnsi="Times New Roman" w:cs="Times New Roman"/>
        </w:rPr>
        <w:t>UNCITRAL Technical Notes on Online Dispute Resolution (2016).</w:t>
      </w:r>
    </w:p>
  </w:footnote>
  <w:footnote w:id="22">
    <w:p w14:paraId="02F2349A" w14:textId="2D07C442" w:rsidR="009D1874" w:rsidRPr="009D1874" w:rsidRDefault="009D1874">
      <w:pPr>
        <w:pStyle w:val="FootnoteText"/>
        <w:rPr>
          <w:lang w:val="en-GB"/>
        </w:rPr>
      </w:pPr>
      <w:r>
        <w:rPr>
          <w:rStyle w:val="FootnoteReference"/>
        </w:rPr>
        <w:footnoteRef/>
      </w:r>
      <w:r>
        <w:t xml:space="preserve"> </w:t>
      </w:r>
      <w:r w:rsidR="003178A6" w:rsidRPr="00556502">
        <w:rPr>
          <w:rFonts w:ascii="Times New Roman" w:hAnsi="Times New Roman" w:cs="Times New Roman"/>
        </w:rPr>
        <w:t xml:space="preserve">Peter Mahmud Marzuki, Legal Research (Jakarta: </w:t>
      </w:r>
      <w:r w:rsidR="003178A6" w:rsidRPr="00556502">
        <w:rPr>
          <w:rFonts w:ascii="Times New Roman" w:hAnsi="Times New Roman" w:cs="Times New Roman"/>
        </w:rPr>
        <w:t>Kencana, 2021), p. 287.</w:t>
      </w:r>
    </w:p>
  </w:footnote>
  <w:footnote w:id="23">
    <w:p w14:paraId="3521B5E1" w14:textId="2EC9FD9C" w:rsidR="009D1874" w:rsidRPr="009D1874" w:rsidRDefault="009D1874">
      <w:pPr>
        <w:pStyle w:val="FootnoteText"/>
        <w:rPr>
          <w:lang w:val="en-GB"/>
        </w:rPr>
      </w:pPr>
      <w:r>
        <w:rPr>
          <w:rStyle w:val="FootnoteReference"/>
        </w:rPr>
        <w:footnoteRef/>
      </w:r>
      <w:r>
        <w:t xml:space="preserve"> </w:t>
      </w:r>
      <w:r w:rsidR="003178A6" w:rsidRPr="00556502">
        <w:rPr>
          <w:rFonts w:ascii="Times New Roman" w:hAnsi="Times New Roman" w:cs="Times New Roman"/>
        </w:rPr>
        <w:t>Ridwan Khairandy, Indonesian Contract Law in Comparative Perspective (Yogyakarta: FH UII Press, 2014), p. 229.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0905E" w14:textId="77777777" w:rsidR="005340A2" w:rsidRDefault="005340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9A112" w14:textId="77777777" w:rsidR="00B92BA9" w:rsidRDefault="001F3EA8">
    <w:pPr>
      <w:pBdr>
        <w:top w:val="nil"/>
        <w:left w:val="nil"/>
        <w:bottom w:val="nil"/>
        <w:right w:val="nil"/>
        <w:between w:val="nil"/>
      </w:pBdr>
      <w:tabs>
        <w:tab w:val="center" w:pos="4680"/>
        <w:tab w:val="right" w:pos="9360"/>
        <w:tab w:val="left" w:pos="1985"/>
      </w:tabs>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14:anchorId="19F57D7E" wp14:editId="79DC007E">
              <wp:simplePos x="0" y="0"/>
              <wp:positionH relativeFrom="column">
                <wp:posOffset>1079500</wp:posOffset>
              </wp:positionH>
              <wp:positionV relativeFrom="paragraph">
                <wp:posOffset>-444499</wp:posOffset>
              </wp:positionV>
              <wp:extent cx="3335020" cy="1399540"/>
              <wp:effectExtent l="0" t="0" r="0" b="0"/>
              <wp:wrapNone/>
              <wp:docPr id="1576654507" name="Rectangle 1576654507"/>
              <wp:cNvGraphicFramePr/>
              <a:graphic xmlns:a="http://schemas.openxmlformats.org/drawingml/2006/main">
                <a:graphicData uri="http://schemas.microsoft.com/office/word/2010/wordprocessingShape">
                  <wps:wsp>
                    <wps:cNvSpPr/>
                    <wps:spPr>
                      <a:xfrm>
                        <a:off x="3683253" y="3084993"/>
                        <a:ext cx="3325495" cy="139001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68282DC" w14:textId="77777777" w:rsidR="00B92BA9" w:rsidRDefault="001F3EA8">
                          <w:pPr>
                            <w:spacing w:before="240" w:after="240" w:line="275" w:lineRule="auto"/>
                            <w:textDirection w:val="btLr"/>
                          </w:pPr>
                          <w:r>
                            <w:rPr>
                              <w:rFonts w:ascii="Arial" w:eastAsia="Arial" w:hAnsi="Arial" w:cs="Arial"/>
                              <w:b/>
                              <w:color w:val="000000"/>
                              <w:sz w:val="44"/>
                            </w:rPr>
                            <w:t>IPSO JURE</w:t>
                          </w:r>
                        </w:p>
                        <w:p w14:paraId="74EFC579" w14:textId="2D77A560" w:rsidR="004B617E" w:rsidRPr="004B617E" w:rsidRDefault="001F3EA8" w:rsidP="004B617E">
                          <w:pPr>
                            <w:spacing w:after="0" w:line="480" w:lineRule="auto"/>
                            <w:textDirection w:val="btLr"/>
                            <w:rPr>
                              <w:rFonts w:ascii="Arial" w:eastAsia="Arial" w:hAnsi="Arial" w:cs="Arial"/>
                              <w:color w:val="000000"/>
                              <w:sz w:val="20"/>
                            </w:rPr>
                          </w:pPr>
                          <w:r>
                            <w:rPr>
                              <w:rFonts w:ascii="Arial" w:eastAsia="Arial" w:hAnsi="Arial" w:cs="Arial"/>
                              <w:color w:val="000000"/>
                              <w:sz w:val="20"/>
                            </w:rPr>
                            <w:t>Journal</w:t>
                          </w:r>
                        </w:p>
                        <w:p w14:paraId="017E9074" w14:textId="54FD1F64" w:rsidR="004B617E" w:rsidRDefault="004B617E" w:rsidP="004B617E">
                          <w:pPr>
                            <w:spacing w:after="0" w:line="240" w:lineRule="auto"/>
                            <w:textDirection w:val="btLr"/>
                            <w:rPr>
                              <w:rFonts w:ascii="Arial" w:eastAsia="Arial" w:hAnsi="Arial" w:cs="Arial"/>
                              <w:color w:val="000000"/>
                              <w:sz w:val="20"/>
                            </w:rPr>
                          </w:pPr>
                          <w:r w:rsidRPr="004B617E">
                            <w:rPr>
                              <w:rFonts w:ascii="Arial" w:eastAsia="Arial" w:hAnsi="Arial" w:cs="Arial"/>
                              <w:color w:val="000000"/>
                              <w:sz w:val="20"/>
                            </w:rPr>
                            <w:t>Vol. 3. No. 7, August2026</w:t>
                          </w:r>
                          <w:r w:rsidR="001F3EA8">
                            <w:rPr>
                              <w:rFonts w:ascii="Arial" w:eastAsia="Arial" w:hAnsi="Arial" w:cs="Arial"/>
                              <w:color w:val="000000"/>
                              <w:sz w:val="20"/>
                            </w:rPr>
                            <w:t xml:space="preserve">   </w:t>
                          </w:r>
                        </w:p>
                        <w:p w14:paraId="7510ACD0" w14:textId="4DF01082" w:rsidR="004517C6" w:rsidRDefault="004B617E" w:rsidP="004B617E">
                          <w:pPr>
                            <w:spacing w:after="240" w:line="240" w:lineRule="auto"/>
                            <w:textDirection w:val="btLr"/>
                            <w:rPr>
                              <w:rFonts w:ascii="Arial" w:eastAsia="Arial" w:hAnsi="Arial" w:cs="Arial"/>
                              <w:color w:val="000000"/>
                              <w:sz w:val="20"/>
                            </w:rPr>
                          </w:pPr>
                          <w:r>
                            <w:rPr>
                              <w:rFonts w:ascii="Arial" w:eastAsia="Arial" w:hAnsi="Arial" w:cs="Arial"/>
                              <w:color w:val="000000"/>
                              <w:sz w:val="20"/>
                            </w:rPr>
                            <w:t xml:space="preserve">DOI </w:t>
                          </w:r>
                          <w:proofErr w:type="gramStart"/>
                          <w:r>
                            <w:rPr>
                              <w:rFonts w:ascii="Arial" w:eastAsia="Arial" w:hAnsi="Arial" w:cs="Arial"/>
                              <w:color w:val="000000"/>
                              <w:sz w:val="20"/>
                            </w:rPr>
                            <w:t>Number :</w:t>
                          </w:r>
                          <w:proofErr w:type="gramEnd"/>
                          <w:r>
                            <w:rPr>
                              <w:rFonts w:ascii="Arial" w:eastAsia="Arial" w:hAnsi="Arial" w:cs="Arial"/>
                              <w:color w:val="000000"/>
                              <w:sz w:val="20"/>
                            </w:rPr>
                            <w:t xml:space="preserve"> </w:t>
                          </w:r>
                          <w:hyperlink r:id="rId1" w:history="1">
                            <w:r w:rsidR="004517C6" w:rsidRPr="00FB143D">
                              <w:rPr>
                                <w:rStyle w:val="Hyperlink"/>
                                <w:rFonts w:ascii="Arial" w:eastAsia="Arial" w:hAnsi="Arial" w:cs="Arial"/>
                                <w:sz w:val="20"/>
                              </w:rPr>
                              <w:t>https://doi.org/10.62872/f6dzae93</w:t>
                            </w:r>
                          </w:hyperlink>
                        </w:p>
                        <w:p w14:paraId="1EB6CD73" w14:textId="24087F84" w:rsidR="00B92BA9" w:rsidRDefault="001F3EA8" w:rsidP="004B617E">
                          <w:pPr>
                            <w:spacing w:after="240" w:line="240" w:lineRule="auto"/>
                            <w:textDirection w:val="btLr"/>
                            <w:rPr>
                              <w:rFonts w:ascii="Arial" w:eastAsia="Arial" w:hAnsi="Arial" w:cs="Arial"/>
                              <w:color w:val="000000"/>
                              <w:sz w:val="20"/>
                            </w:rPr>
                          </w:pPr>
                          <w:r>
                            <w:rPr>
                              <w:rFonts w:ascii="Arial" w:eastAsia="Arial" w:hAnsi="Arial" w:cs="Arial"/>
                              <w:color w:val="000000"/>
                              <w:sz w:val="20"/>
                            </w:rPr>
                            <w:t xml:space="preserve"> </w:t>
                          </w:r>
                        </w:p>
                        <w:p w14:paraId="461619B2" w14:textId="77777777" w:rsidR="004517C6" w:rsidRDefault="004517C6" w:rsidP="004B617E">
                          <w:pPr>
                            <w:spacing w:after="240" w:line="240" w:lineRule="auto"/>
                            <w:textDirection w:val="btLr"/>
                          </w:pPr>
                        </w:p>
                        <w:p w14:paraId="65F48240" w14:textId="77777777" w:rsidR="00B92BA9" w:rsidRDefault="00B92BA9">
                          <w:pPr>
                            <w:spacing w:after="0" w:line="258" w:lineRule="auto"/>
                            <w:textDirection w:val="btLr"/>
                          </w:pPr>
                        </w:p>
                        <w:p w14:paraId="7035CA68" w14:textId="77777777" w:rsidR="00B92BA9" w:rsidRDefault="00B92BA9">
                          <w:pPr>
                            <w:spacing w:after="0" w:line="258" w:lineRule="auto"/>
                            <w:textDirection w:val="btLr"/>
                          </w:pPr>
                        </w:p>
                        <w:p w14:paraId="5AA2ECF8" w14:textId="77777777" w:rsidR="00B92BA9" w:rsidRDefault="00B92BA9">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9F57D7E" id="Rectangle 1576654507" o:spid="_x0000_s1026" style="position:absolute;margin-left:85pt;margin-top:-35pt;width:262.6pt;height:110.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">
              <v:stroke startarrowwidth="narrow" startarrowlength="short" endarrowwidth="narrow" endarrowlength="short"/>
              <v:textbox inset="2.53958mm,1.2694mm,2.53958mm,1.2694mm">
                <w:txbxContent>
                  <w:p w14:paraId="668282DC" w14:textId="77777777" w:rsidR="00B92BA9" w:rsidRDefault="001F3EA8">
                    <w:pPr>
                      <w:spacing w:before="240" w:after="240" w:line="275" w:lineRule="auto"/>
                      <w:textDirection w:val="btLr"/>
                    </w:pPr>
                    <w:r>
                      <w:rPr>
                        <w:rFonts w:ascii="Arial" w:eastAsia="Arial" w:hAnsi="Arial" w:cs="Arial"/>
                        <w:b/>
                        <w:color w:val="000000"/>
                        <w:sz w:val="44"/>
                      </w:rPr>
                      <w:t>IPSO JURE</w:t>
                    </w:r>
                  </w:p>
                  <w:p w14:paraId="74EFC579" w14:textId="2D77A560" w:rsidR="004B617E" w:rsidRPr="004B617E" w:rsidRDefault="001F3EA8" w:rsidP="004B617E">
                    <w:pPr>
                      <w:spacing w:after="0" w:line="480" w:lineRule="auto"/>
                      <w:textDirection w:val="btLr"/>
                      <w:rPr>
                        <w:rFonts w:ascii="Arial" w:eastAsia="Arial" w:hAnsi="Arial" w:cs="Arial"/>
                        <w:color w:val="000000"/>
                        <w:sz w:val="20"/>
                      </w:rPr>
                    </w:pPr>
                    <w:r>
                      <w:rPr>
                        <w:rFonts w:ascii="Arial" w:eastAsia="Arial" w:hAnsi="Arial" w:cs="Arial"/>
                        <w:color w:val="000000"/>
                        <w:sz w:val="20"/>
                      </w:rPr>
                      <w:t>Journal</w:t>
                    </w:r>
                  </w:p>
                  <w:p w14:paraId="017E9074" w14:textId="54FD1F64" w:rsidR="004B617E" w:rsidRDefault="004B617E" w:rsidP="004B617E">
                    <w:pPr>
                      <w:spacing w:after="0" w:line="240" w:lineRule="auto"/>
                      <w:textDirection w:val="btLr"/>
                      <w:rPr>
                        <w:rFonts w:ascii="Arial" w:eastAsia="Arial" w:hAnsi="Arial" w:cs="Arial"/>
                        <w:color w:val="000000"/>
                        <w:sz w:val="20"/>
                      </w:rPr>
                    </w:pPr>
                    <w:r w:rsidRPr="004B617E">
                      <w:rPr>
                        <w:rFonts w:ascii="Arial" w:eastAsia="Arial" w:hAnsi="Arial" w:cs="Arial"/>
                        <w:color w:val="000000"/>
                        <w:sz w:val="20"/>
                      </w:rPr>
                      <w:t>Vol. 3. No. 7, August2026</w:t>
                    </w:r>
                    <w:r w:rsidR="001F3EA8">
                      <w:rPr>
                        <w:rFonts w:ascii="Arial" w:eastAsia="Arial" w:hAnsi="Arial" w:cs="Arial"/>
                        <w:color w:val="000000"/>
                        <w:sz w:val="20"/>
                      </w:rPr>
                      <w:t xml:space="preserve">   </w:t>
                    </w:r>
                  </w:p>
                  <w:p w14:paraId="7510ACD0" w14:textId="4DF01082" w:rsidR="004517C6" w:rsidRDefault="004B617E" w:rsidP="004B617E">
                    <w:pPr>
                      <w:spacing w:after="240" w:line="240" w:lineRule="auto"/>
                      <w:textDirection w:val="btLr"/>
                      <w:rPr>
                        <w:rFonts w:ascii="Arial" w:eastAsia="Arial" w:hAnsi="Arial" w:cs="Arial"/>
                        <w:color w:val="000000"/>
                        <w:sz w:val="20"/>
                      </w:rPr>
                    </w:pPr>
                    <w:r>
                      <w:rPr>
                        <w:rFonts w:ascii="Arial" w:eastAsia="Arial" w:hAnsi="Arial" w:cs="Arial"/>
                        <w:color w:val="000000"/>
                        <w:sz w:val="20"/>
                      </w:rPr>
                      <w:t xml:space="preserve">DOI </w:t>
                    </w:r>
                    <w:proofErr w:type="gramStart"/>
                    <w:r>
                      <w:rPr>
                        <w:rFonts w:ascii="Arial" w:eastAsia="Arial" w:hAnsi="Arial" w:cs="Arial"/>
                        <w:color w:val="000000"/>
                        <w:sz w:val="20"/>
                      </w:rPr>
                      <w:t>Number :</w:t>
                    </w:r>
                    <w:proofErr w:type="gramEnd"/>
                    <w:r>
                      <w:rPr>
                        <w:rFonts w:ascii="Arial" w:eastAsia="Arial" w:hAnsi="Arial" w:cs="Arial"/>
                        <w:color w:val="000000"/>
                        <w:sz w:val="20"/>
                      </w:rPr>
                      <w:t xml:space="preserve"> </w:t>
                    </w:r>
                    <w:hyperlink r:id="rId2" w:history="1">
                      <w:r w:rsidR="004517C6" w:rsidRPr="00FB143D">
                        <w:rPr>
                          <w:rStyle w:val="Hyperlink"/>
                          <w:rFonts w:ascii="Arial" w:eastAsia="Arial" w:hAnsi="Arial" w:cs="Arial"/>
                          <w:sz w:val="20"/>
                        </w:rPr>
                        <w:t>https://doi.org/</w:t>
                      </w:r>
                      <w:r w:rsidR="004517C6" w:rsidRPr="00FB143D">
                        <w:rPr>
                          <w:rStyle w:val="Hyperlink"/>
                          <w:rFonts w:ascii="Arial" w:eastAsia="Arial" w:hAnsi="Arial" w:cs="Arial"/>
                          <w:sz w:val="20"/>
                        </w:rPr>
                        <w:t>10.62872/f6dzae93</w:t>
                      </w:r>
                    </w:hyperlink>
                  </w:p>
                  <w:p w14:paraId="1EB6CD73" w14:textId="24087F84" w:rsidR="00B92BA9" w:rsidRDefault="001F3EA8" w:rsidP="004B617E">
                    <w:pPr>
                      <w:spacing w:after="240" w:line="240" w:lineRule="auto"/>
                      <w:textDirection w:val="btLr"/>
                      <w:rPr>
                        <w:rFonts w:ascii="Arial" w:eastAsia="Arial" w:hAnsi="Arial" w:cs="Arial"/>
                        <w:color w:val="000000"/>
                        <w:sz w:val="20"/>
                      </w:rPr>
                    </w:pPr>
                    <w:r>
                      <w:rPr>
                        <w:rFonts w:ascii="Arial" w:eastAsia="Arial" w:hAnsi="Arial" w:cs="Arial"/>
                        <w:color w:val="000000"/>
                        <w:sz w:val="20"/>
                      </w:rPr>
                      <w:t xml:space="preserve"> </w:t>
                    </w:r>
                  </w:p>
                  <w:p w14:paraId="461619B2" w14:textId="77777777" w:rsidR="004517C6" w:rsidRDefault="004517C6" w:rsidP="004B617E">
                    <w:pPr>
                      <w:spacing w:after="240" w:line="240" w:lineRule="auto"/>
                      <w:textDirection w:val="btLr"/>
                    </w:pPr>
                  </w:p>
                  <w:p w14:paraId="65F48240" w14:textId="77777777" w:rsidR="00B92BA9" w:rsidRDefault="00B92BA9">
                    <w:pPr>
                      <w:spacing w:after="0" w:line="258" w:lineRule="auto"/>
                      <w:textDirection w:val="btLr"/>
                    </w:pPr>
                  </w:p>
                  <w:p w14:paraId="7035CA68" w14:textId="77777777" w:rsidR="00B92BA9" w:rsidRDefault="00B92BA9">
                    <w:pPr>
                      <w:spacing w:after="0" w:line="258" w:lineRule="auto"/>
                      <w:textDirection w:val="btLr"/>
                    </w:pPr>
                  </w:p>
                  <w:p w14:paraId="5AA2ECF8" w14:textId="77777777" w:rsidR="00B92BA9" w:rsidRDefault="00B92BA9">
                    <w:pPr>
                      <w:spacing w:line="258" w:lineRule="auto"/>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080BEB0C" wp14:editId="4C44D5D8">
              <wp:simplePos x="0" y="0"/>
              <wp:positionH relativeFrom="column">
                <wp:posOffset>3429000</wp:posOffset>
              </wp:positionH>
              <wp:positionV relativeFrom="paragraph">
                <wp:posOffset>-266699</wp:posOffset>
              </wp:positionV>
              <wp:extent cx="3757295" cy="803275"/>
              <wp:effectExtent l="0" t="0" r="0" b="0"/>
              <wp:wrapNone/>
              <wp:docPr id="1576654504" name="Rectangle 1576654504"/>
              <wp:cNvGraphicFramePr/>
              <a:graphic xmlns:a="http://schemas.openxmlformats.org/drawingml/2006/main">
                <a:graphicData uri="http://schemas.microsoft.com/office/word/2010/wordprocessingShape">
                  <wps:wsp>
                    <wps:cNvSpPr/>
                    <wps:spPr>
                      <a:xfrm>
                        <a:off x="3480053" y="3391063"/>
                        <a:ext cx="3731895" cy="777875"/>
                      </a:xfrm>
                      <a:prstGeom prst="rect">
                        <a:avLst/>
                      </a:prstGeom>
                      <a:solidFill>
                        <a:srgbClr val="C00000"/>
                      </a:solidFill>
                      <a:ln w="12700" cap="flat" cmpd="sng">
                        <a:solidFill>
                          <a:schemeClr val="accent1"/>
                        </a:solidFill>
                        <a:prstDash val="solid"/>
                        <a:miter lim="800000"/>
                        <a:headEnd type="none" w="sm" len="sm"/>
                        <a:tailEnd type="none" w="sm" len="sm"/>
                      </a:ln>
                      <a:effectLst>
                        <a:outerShdw dist="28398" dir="3806097" algn="ctr" rotWithShape="0">
                          <a:srgbClr val="244061"/>
                        </a:outerShdw>
                      </a:effectLst>
                    </wps:spPr>
                    <wps:txbx>
                      <w:txbxContent>
                        <w:p w14:paraId="6F737FCE" w14:textId="77777777" w:rsidR="00B92BA9" w:rsidRDefault="00B92BA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80BEB0C" id="Rectangle 1576654504" o:spid="_x0000_s1027" style="position:absolute;margin-left:270pt;margin-top:-21pt;width:295.85pt;height:63.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" fillcolor="#c00000" strokecolor="#4472c4 [3204]" strokeweight="1pt">
              <v:stroke startarrowwidth="narrow" startarrowlength="short" endarrowwidth="narrow" endarrowlength="short"/>
              <v:shadow on="t" color="#244061" offset="1pt"/>
              <v:textbox inset="2.53958mm,2.53958mm,2.53958mm,2.53958mm">
                <w:txbxContent>
                  <w:p w14:paraId="6F737FCE" w14:textId="77777777" w:rsidR="00B92BA9" w:rsidRDefault="00B92BA9">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07CC98F0" wp14:editId="4F13DE04">
              <wp:simplePos x="0" y="0"/>
              <wp:positionH relativeFrom="column">
                <wp:posOffset>-1054099</wp:posOffset>
              </wp:positionH>
              <wp:positionV relativeFrom="paragraph">
                <wp:posOffset>-457199</wp:posOffset>
              </wp:positionV>
              <wp:extent cx="534670" cy="1409065"/>
              <wp:effectExtent l="0" t="0" r="0" b="0"/>
              <wp:wrapNone/>
              <wp:docPr id="1576654509" name="Rectangle 1576654509"/>
              <wp:cNvGraphicFramePr/>
              <a:graphic xmlns:a="http://schemas.openxmlformats.org/drawingml/2006/main">
                <a:graphicData uri="http://schemas.microsoft.com/office/word/2010/wordprocessingShape">
                  <wps:wsp>
                    <wps:cNvSpPr/>
                    <wps:spPr>
                      <a:xfrm>
                        <a:off x="5088190" y="3084993"/>
                        <a:ext cx="515620" cy="1390015"/>
                      </a:xfrm>
                      <a:prstGeom prst="rect">
                        <a:avLst/>
                      </a:prstGeom>
                      <a:solidFill>
                        <a:srgbClr val="C00000"/>
                      </a:solidFill>
                      <a:ln w="9525" cap="flat" cmpd="sng">
                        <a:solidFill>
                          <a:srgbClr val="000000"/>
                        </a:solidFill>
                        <a:prstDash val="solid"/>
                        <a:miter lim="800000"/>
                        <a:headEnd type="none" w="sm" len="sm"/>
                        <a:tailEnd type="none" w="sm" len="sm"/>
                      </a:ln>
                    </wps:spPr>
                    <wps:txbx>
                      <w:txbxContent>
                        <w:p w14:paraId="004B7C45" w14:textId="77777777" w:rsidR="00B92BA9" w:rsidRDefault="00B92BA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7CC98F0" id="Rectangle 1576654509" o:spid="_x0000_s1028" style="position:absolute;margin-left:-83pt;margin-top:-36pt;width:42.1pt;height:110.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" fillcolor="#c00000">
              <v:stroke startarrowwidth="narrow" startarrowlength="short" endarrowwidth="narrow" endarrowlength="short"/>
              <v:textbox inset="2.53958mm,2.53958mm,2.53958mm,2.53958mm">
                <w:txbxContent>
                  <w:p w14:paraId="004B7C45" w14:textId="77777777" w:rsidR="00B92BA9" w:rsidRDefault="00B92BA9">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48392D73" wp14:editId="54916121">
              <wp:simplePos x="0" y="0"/>
              <wp:positionH relativeFrom="column">
                <wp:posOffset>3429000</wp:posOffset>
              </wp:positionH>
              <wp:positionV relativeFrom="paragraph">
                <wp:posOffset>-266699</wp:posOffset>
              </wp:positionV>
              <wp:extent cx="3458845" cy="796925"/>
              <wp:effectExtent l="0" t="0" r="0" b="0"/>
              <wp:wrapNone/>
              <wp:docPr id="1576654508" name="Rectangle 1576654508"/>
              <wp:cNvGraphicFramePr/>
              <a:graphic xmlns:a="http://schemas.openxmlformats.org/drawingml/2006/main">
                <a:graphicData uri="http://schemas.microsoft.com/office/word/2010/wordprocessingShape">
                  <wps:wsp>
                    <wps:cNvSpPr/>
                    <wps:spPr>
                      <a:xfrm>
                        <a:off x="3626103" y="3391063"/>
                        <a:ext cx="3439795" cy="777875"/>
                      </a:xfrm>
                      <a:prstGeom prst="rect">
                        <a:avLst/>
                      </a:prstGeom>
                      <a:solidFill>
                        <a:srgbClr val="C00000"/>
                      </a:solidFill>
                      <a:ln w="9525" cap="flat" cmpd="sng">
                        <a:solidFill>
                          <a:srgbClr val="000000"/>
                        </a:solidFill>
                        <a:prstDash val="solid"/>
                        <a:miter lim="800000"/>
                        <a:headEnd type="none" w="sm" len="sm"/>
                        <a:tailEnd type="none" w="sm" len="sm"/>
                      </a:ln>
                    </wps:spPr>
                    <wps:txbx>
                      <w:txbxContent>
                        <w:p w14:paraId="5682130A" w14:textId="77777777" w:rsidR="00B92BA9" w:rsidRDefault="00B92BA9">
                          <w:pPr>
                            <w:spacing w:after="0" w:line="258" w:lineRule="auto"/>
                            <w:ind w:firstLine="720"/>
                            <w:textDirection w:val="btLr"/>
                          </w:pPr>
                        </w:p>
                        <w:p w14:paraId="57215C0B" w14:textId="77777777" w:rsidR="00B92BA9" w:rsidRDefault="001F3EA8">
                          <w:pPr>
                            <w:spacing w:after="0" w:line="258" w:lineRule="auto"/>
                            <w:textDirection w:val="btLr"/>
                          </w:pPr>
                          <w:r>
                            <w:rPr>
                              <w:rFonts w:ascii="Arial" w:eastAsia="Arial" w:hAnsi="Arial" w:cs="Arial"/>
                              <w:color w:val="000000"/>
                              <w:sz w:val="24"/>
                            </w:rPr>
                            <w:t>E-ISSN</w:t>
                          </w:r>
                          <w:r>
                            <w:rPr>
                              <w:rFonts w:ascii="Arial" w:eastAsia="Arial" w:hAnsi="Arial" w:cs="Arial"/>
                              <w:color w:val="000000"/>
                              <w:sz w:val="24"/>
                            </w:rPr>
                            <w:tab/>
                            <w:t>: 3032-7644</w:t>
                          </w:r>
                          <w:r>
                            <w:rPr>
                              <w:rFonts w:ascii="Arial" w:eastAsia="Arial" w:hAnsi="Arial" w:cs="Arial"/>
                              <w:color w:val="000000"/>
                              <w:sz w:val="24"/>
                            </w:rPr>
                            <w:tab/>
                          </w:r>
                        </w:p>
                        <w:p w14:paraId="35D5040A" w14:textId="77777777" w:rsidR="00B92BA9" w:rsidRDefault="001F3EA8">
                          <w:pPr>
                            <w:spacing w:after="0" w:line="258" w:lineRule="auto"/>
                            <w:textDirection w:val="btLr"/>
                          </w:pPr>
                          <w:r>
                            <w:rPr>
                              <w:rFonts w:ascii="Arial" w:eastAsia="Arial" w:hAnsi="Arial" w:cs="Arial"/>
                              <w:color w:val="FFFFFF"/>
                              <w:sz w:val="24"/>
                            </w:rPr>
                            <w:t>https://nawalaeducation.com/index.php/IJJ/</w:t>
                          </w:r>
                        </w:p>
                        <w:p w14:paraId="4808B8A4" w14:textId="77777777" w:rsidR="00B92BA9" w:rsidRDefault="00B92BA9">
                          <w:pPr>
                            <w:spacing w:after="0" w:line="258" w:lineRule="auto"/>
                            <w:textDirection w:val="btLr"/>
                          </w:pPr>
                        </w:p>
                        <w:p w14:paraId="11A05096" w14:textId="77777777" w:rsidR="00B92BA9" w:rsidRDefault="00B92BA9">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8392D73" id="Rectangle 1576654508" o:spid="_x0000_s1029" style="position:absolute;margin-left:270pt;margin-top:-21pt;width:272.35pt;height:62.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" fillcolor="#c00000">
              <v:stroke startarrowwidth="narrow" startarrowlength="short" endarrowwidth="narrow" endarrowlength="short"/>
              <v:textbox inset="2.53958mm,1.2694mm,2.53958mm,1.2694mm">
                <w:txbxContent>
                  <w:p w14:paraId="5682130A" w14:textId="77777777" w:rsidR="00B92BA9" w:rsidRDefault="00B92BA9">
                    <w:pPr>
                      <w:spacing w:after="0" w:line="258" w:lineRule="auto"/>
                      <w:ind w:firstLine="720"/>
                      <w:textDirection w:val="btLr"/>
                    </w:pPr>
                  </w:p>
                  <w:p w14:paraId="57215C0B" w14:textId="77777777" w:rsidR="00B92BA9" w:rsidRDefault="001F3EA8">
                    <w:pPr>
                      <w:spacing w:after="0" w:line="258" w:lineRule="auto"/>
                      <w:textDirection w:val="btLr"/>
                    </w:pPr>
                    <w:r>
                      <w:rPr>
                        <w:rFonts w:ascii="Arial" w:eastAsia="Arial" w:hAnsi="Arial" w:cs="Arial"/>
                        <w:color w:val="000000"/>
                        <w:sz w:val="24"/>
                      </w:rPr>
                      <w:t>E-ISSN</w:t>
                    </w:r>
                    <w:r>
                      <w:rPr>
                        <w:rFonts w:ascii="Arial" w:eastAsia="Arial" w:hAnsi="Arial" w:cs="Arial"/>
                        <w:color w:val="000000"/>
                        <w:sz w:val="24"/>
                      </w:rPr>
                      <w:tab/>
                      <w:t>: 3032-7644</w:t>
                    </w:r>
                    <w:r>
                      <w:rPr>
                        <w:rFonts w:ascii="Arial" w:eastAsia="Arial" w:hAnsi="Arial" w:cs="Arial"/>
                        <w:color w:val="000000"/>
                        <w:sz w:val="24"/>
                      </w:rPr>
                      <w:tab/>
                    </w:r>
                  </w:p>
                  <w:p w14:paraId="35D5040A" w14:textId="77777777" w:rsidR="00B92BA9" w:rsidRDefault="001F3EA8">
                    <w:pPr>
                      <w:spacing w:after="0" w:line="258" w:lineRule="auto"/>
                      <w:textDirection w:val="btLr"/>
                    </w:pPr>
                    <w:r>
                      <w:rPr>
                        <w:rFonts w:ascii="Arial" w:eastAsia="Arial" w:hAnsi="Arial" w:cs="Arial"/>
                        <w:color w:val="FFFFFF"/>
                        <w:sz w:val="24"/>
                      </w:rPr>
                      <w:t>https://nawalaeducation.com/index.php/IJJ/</w:t>
                    </w:r>
                  </w:p>
                  <w:p w14:paraId="4808B8A4" w14:textId="77777777" w:rsidR="00B92BA9" w:rsidRDefault="00B92BA9">
                    <w:pPr>
                      <w:spacing w:after="0" w:line="258" w:lineRule="auto"/>
                      <w:textDirection w:val="btLr"/>
                    </w:pPr>
                  </w:p>
                  <w:p w14:paraId="11A05096" w14:textId="77777777" w:rsidR="00B92BA9" w:rsidRDefault="00B92BA9">
                    <w:pPr>
                      <w:spacing w:line="258" w:lineRule="auto"/>
                      <w:textDirection w:val="btLr"/>
                    </w:pPr>
                  </w:p>
                </w:txbxContent>
              </v:textbox>
            </v:rect>
          </w:pict>
        </mc:Fallback>
      </mc:AlternateContent>
    </w:r>
    <w:r>
      <w:rPr>
        <w:noProof/>
      </w:rPr>
      <w:drawing>
        <wp:anchor distT="0" distB="0" distL="114300" distR="114300" simplePos="0" relativeHeight="251663360" behindDoc="0" locked="0" layoutInCell="1" hidden="0" allowOverlap="1" wp14:anchorId="68480C59" wp14:editId="2F0E989C">
          <wp:simplePos x="0" y="0"/>
          <wp:positionH relativeFrom="column">
            <wp:posOffset>-522603</wp:posOffset>
          </wp:positionH>
          <wp:positionV relativeFrom="paragraph">
            <wp:posOffset>-457197</wp:posOffset>
          </wp:positionV>
          <wp:extent cx="1609725" cy="1133475"/>
          <wp:effectExtent l="0" t="0" r="0" b="0"/>
          <wp:wrapTopAndBottom distT="0" distB="0"/>
          <wp:docPr id="1576654511" name="image2.png" descr="E:\ADMIN OF THE JOURNAL DWI\LOGO LOST\IPSO JURE JOURNAL.png"/>
          <wp:cNvGraphicFramePr/>
          <a:graphic xmlns:a="http://schemas.openxmlformats.org/drawingml/2006/main">
            <a:graphicData uri="http://schemas.openxmlformats.org/drawingml/2006/picture">
              <pic:pic xmlns:pic="http://schemas.openxmlformats.org/drawingml/2006/picture">
                <pic:nvPicPr>
                  <pic:cNvPr id="0" name="image2.png" descr="E:\ADMIN JURNAL DWI\LOGO NAWALA\IPSO JURE JOURNAL.png"/>
                  <pic:cNvPicPr preferRelativeResize="0"/>
                </pic:nvPicPr>
                <pic:blipFill>
                  <a:blip r:embed="rId3"/>
                  <a:srcRect l="20886" t="12902" r="16453" b="38294"/>
                  <a:stretch>
                    <a:fillRect/>
                  </a:stretch>
                </pic:blipFill>
                <pic:spPr>
                  <a:xfrm>
                    <a:off x="0" y="0"/>
                    <a:ext cx="1609725" cy="1133475"/>
                  </a:xfrm>
                  <a:prstGeom prst="rect">
                    <a:avLst/>
                  </a:prstGeom>
                  <a:ln/>
                </pic:spPr>
              </pic:pic>
            </a:graphicData>
          </a:graphic>
        </wp:anchor>
      </w:drawing>
    </w:r>
    <w:r>
      <w:rPr>
        <w:noProof/>
      </w:rPr>
      <mc:AlternateContent>
        <mc:Choice Requires="wps">
          <w:drawing>
            <wp:anchor distT="0" distB="0" distL="114300" distR="114300" simplePos="0" relativeHeight="251664384" behindDoc="0" locked="0" layoutInCell="1" hidden="0" allowOverlap="1" wp14:anchorId="5E017030" wp14:editId="7839C145">
              <wp:simplePos x="0" y="0"/>
              <wp:positionH relativeFrom="column">
                <wp:posOffset>-393699</wp:posOffset>
              </wp:positionH>
              <wp:positionV relativeFrom="paragraph">
                <wp:posOffset>723900</wp:posOffset>
              </wp:positionV>
              <wp:extent cx="0" cy="38100"/>
              <wp:effectExtent l="0" t="0" r="0" b="0"/>
              <wp:wrapNone/>
              <wp:docPr id="1576654505" name="Straight Arrow Connector 1576654505"/>
              <wp:cNvGraphicFramePr/>
              <a:graphic xmlns:a="http://schemas.openxmlformats.org/drawingml/2006/main">
                <a:graphicData uri="http://schemas.microsoft.com/office/word/2010/wordprocessingShape">
                  <wps:wsp>
                    <wps:cNvCnPr/>
                    <wps:spPr>
                      <a:xfrm>
                        <a:off x="1707018" y="3780000"/>
                        <a:ext cx="7277965" cy="0"/>
                      </a:xfrm>
                      <a:prstGeom prst="straightConnector1">
                        <a:avLst/>
                      </a:prstGeom>
                      <a:noFill/>
                      <a:ln w="38100" cap="flat" cmpd="sng">
                        <a:solidFill>
                          <a:srgbClr val="C00000"/>
                        </a:solidFill>
                        <a:prstDash val="solid"/>
                        <a:round/>
                        <a:headEnd type="none" w="sm" len="sm"/>
                        <a:tailEnd type="none" w="sm" len="sm"/>
                      </a:ln>
                    </wps:spPr>
                    <wps:bodyPr/>
                  </wps:wsp>
                </a:graphicData>
              </a:graphic>
            </wp:anchor>
          </w:drawing>
        </mc:Choice>
        <mc:Fallback xmlns:pic="http://schemas.openxmlformats.org/drawingml/2006/picture" xmlns:a="http://schemas.openxmlformats.org/drawingml/2006/main">
          <w:pict>
            <v:shapetype id="_x0000_t32" coordsize="21600,21600" o:oned="t" filled="f" o:spt="32" path="m,l21600,21600e" w14:anchorId="50628110">
              <v:path fillok="f" arrowok="t" o:connecttype="none"/>
              <o:lock v:ext="edit" shapetype="t"/>
            </v:shapetype>
            <v:shape id="Straight Arrow Connector 1576654505" style="position:absolute;margin-left:-31pt;margin-top:57pt;width:0;height:3pt;z-index:251664384;visibility:visible;mso-wrap-style:square;mso-wrap-distance-left:9pt;mso-wrap-distance-top:0;mso-wrap-distance-right:9pt;mso-wrap-distance-bottom:0;mso-position-horizontal:absolute;mso-position-horizontal-relative:text;mso-position-vertical:absolute;mso-position-vertical-relative:text" o:spid="_x0000_s1026" strokecolor="#c00000"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">
              <v:stroke startarrowwidth="narrow" startarrowlength="short" endarrowwidth="narrow" endarrowlength="short"/>
            </v:shape>
          </w:pict>
        </mc:Fallback>
      </mc:AlternateContent>
    </w:r>
  </w:p>
  <w:p w14:paraId="16D50C4E" w14:textId="77777777" w:rsidR="00B92BA9" w:rsidRDefault="001F3EA8">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65408" behindDoc="0" locked="0" layoutInCell="1" hidden="0" allowOverlap="1" wp14:anchorId="5AB85A1E" wp14:editId="6D661A05">
              <wp:simplePos x="0" y="0"/>
              <wp:positionH relativeFrom="column">
                <wp:posOffset>-215899</wp:posOffset>
              </wp:positionH>
              <wp:positionV relativeFrom="paragraph">
                <wp:posOffset>165100</wp:posOffset>
              </wp:positionV>
              <wp:extent cx="0" cy="38100"/>
              <wp:effectExtent l="0" t="0" r="0" b="0"/>
              <wp:wrapNone/>
              <wp:docPr id="1576654506" name="Straight Arrow Connector 1576654506"/>
              <wp:cNvGraphicFramePr/>
              <a:graphic xmlns:a="http://schemas.openxmlformats.org/drawingml/2006/main">
                <a:graphicData uri="http://schemas.microsoft.com/office/word/2010/wordprocessingShape">
                  <wps:wsp>
                    <wps:cNvCnPr/>
                    <wps:spPr>
                      <a:xfrm>
                        <a:off x="1788413" y="3780000"/>
                        <a:ext cx="7115175" cy="0"/>
                      </a:xfrm>
                      <a:prstGeom prst="straightConnector1">
                        <a:avLst/>
                      </a:prstGeom>
                      <a:noFill/>
                      <a:ln w="38100" cap="flat" cmpd="sng">
                        <a:solidFill>
                          <a:srgbClr val="C00000"/>
                        </a:solidFill>
                        <a:prstDash val="solid"/>
                        <a:round/>
                        <a:headEnd type="none" w="sm" len="sm"/>
                        <a:tailEnd type="none" w="sm" len="sm"/>
                      </a:ln>
                    </wps:spPr>
                    <wps:bodyPr/>
                  </wps:wsp>
                </a:graphicData>
              </a:graphic>
            </wp:anchor>
          </w:drawing>
        </mc:Choice>
        <mc:Fallback xmlns:pic="http://schemas.openxmlformats.org/drawingml/2006/picture" xmlns:a="http://schemas.openxmlformats.org/drawingml/2006/main">
          <w:pict>
            <v:shape id="Straight Arrow Connector 1576654506" style="position:absolute;margin-left:-17pt;margin-top:13pt;width:0;height:3pt;z-index:251665408;visibility:visible;mso-wrap-style:square;mso-wrap-distance-left:9pt;mso-wrap-distance-top:0;mso-wrap-distance-right:9pt;mso-wrap-distance-bottom:0;mso-position-horizontal:absolute;mso-position-horizontal-relative:text;mso-position-vertical:absolute;mso-position-vertical-relative:text" o:spid="_x0000_s1026" strokecolor="#c00000"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" w14:anchorId="5ECBAF7D">
              <v:stroke startarrowwidth="narrow" startarrowlength="short" endarrowwidth="narrow" endarrowlength="short"/>
            </v:shape>
          </w:pict>
        </mc:Fallback>
      </mc:AlternateContent>
    </w:r>
  </w:p>
  <w:p w14:paraId="0645BADF" w14:textId="77777777" w:rsidR="00B92BA9" w:rsidRDefault="00B92BA9">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96D84" w14:textId="77777777" w:rsidR="005340A2" w:rsidRDefault="005340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B632B"/>
    <w:multiLevelType w:val="hybridMultilevel"/>
    <w:tmpl w:val="E7D4555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7B3C7626"/>
    <w:multiLevelType w:val="hybridMultilevel"/>
    <w:tmpl w:val="7F508176"/>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845700904">
    <w:abstractNumId w:val="0"/>
  </w:num>
  <w:num w:numId="2" w16cid:durableId="711658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93C"/>
    <w:rsid w:val="000677A3"/>
    <w:rsid w:val="0009793C"/>
    <w:rsid w:val="00097C19"/>
    <w:rsid w:val="000E1EBC"/>
    <w:rsid w:val="000F0DAA"/>
    <w:rsid w:val="000F40A2"/>
    <w:rsid w:val="001032EB"/>
    <w:rsid w:val="00133EE6"/>
    <w:rsid w:val="001404F8"/>
    <w:rsid w:val="001436D8"/>
    <w:rsid w:val="001A5A7F"/>
    <w:rsid w:val="001E1C1A"/>
    <w:rsid w:val="001F23FB"/>
    <w:rsid w:val="001F3EA8"/>
    <w:rsid w:val="002047B0"/>
    <w:rsid w:val="00243470"/>
    <w:rsid w:val="00273FD1"/>
    <w:rsid w:val="00296A1F"/>
    <w:rsid w:val="002F7E84"/>
    <w:rsid w:val="003178A6"/>
    <w:rsid w:val="00324471"/>
    <w:rsid w:val="00335E81"/>
    <w:rsid w:val="00360BC0"/>
    <w:rsid w:val="0037051B"/>
    <w:rsid w:val="003774BE"/>
    <w:rsid w:val="003976B7"/>
    <w:rsid w:val="003A0CBF"/>
    <w:rsid w:val="003B72F4"/>
    <w:rsid w:val="003C55F3"/>
    <w:rsid w:val="003D2A01"/>
    <w:rsid w:val="00413915"/>
    <w:rsid w:val="00441B4D"/>
    <w:rsid w:val="004517C6"/>
    <w:rsid w:val="004555C2"/>
    <w:rsid w:val="00455C43"/>
    <w:rsid w:val="004900E7"/>
    <w:rsid w:val="004B617E"/>
    <w:rsid w:val="00533E79"/>
    <w:rsid w:val="005340A2"/>
    <w:rsid w:val="005752BD"/>
    <w:rsid w:val="005838AD"/>
    <w:rsid w:val="005853A9"/>
    <w:rsid w:val="005B33DF"/>
    <w:rsid w:val="005C6F20"/>
    <w:rsid w:val="0061634B"/>
    <w:rsid w:val="006317BF"/>
    <w:rsid w:val="006B07C3"/>
    <w:rsid w:val="006C17E9"/>
    <w:rsid w:val="0071520D"/>
    <w:rsid w:val="00765FAD"/>
    <w:rsid w:val="00774091"/>
    <w:rsid w:val="007B387B"/>
    <w:rsid w:val="007B3DA7"/>
    <w:rsid w:val="007B4C83"/>
    <w:rsid w:val="007D7723"/>
    <w:rsid w:val="008A1924"/>
    <w:rsid w:val="008C5F86"/>
    <w:rsid w:val="008E03A2"/>
    <w:rsid w:val="008E1794"/>
    <w:rsid w:val="008E39FA"/>
    <w:rsid w:val="00956194"/>
    <w:rsid w:val="00970E50"/>
    <w:rsid w:val="009B65AC"/>
    <w:rsid w:val="009D1874"/>
    <w:rsid w:val="009E2E11"/>
    <w:rsid w:val="00A17E71"/>
    <w:rsid w:val="00A55947"/>
    <w:rsid w:val="00A72AD0"/>
    <w:rsid w:val="00A87838"/>
    <w:rsid w:val="00AA510F"/>
    <w:rsid w:val="00AD6B13"/>
    <w:rsid w:val="00B04178"/>
    <w:rsid w:val="00B12C2F"/>
    <w:rsid w:val="00B22362"/>
    <w:rsid w:val="00B22F4E"/>
    <w:rsid w:val="00B2546F"/>
    <w:rsid w:val="00B460D9"/>
    <w:rsid w:val="00B47431"/>
    <w:rsid w:val="00B52773"/>
    <w:rsid w:val="00B54D40"/>
    <w:rsid w:val="00B63AEF"/>
    <w:rsid w:val="00B72359"/>
    <w:rsid w:val="00B77821"/>
    <w:rsid w:val="00B92BA9"/>
    <w:rsid w:val="00BC3C53"/>
    <w:rsid w:val="00BD74D2"/>
    <w:rsid w:val="00BD7B90"/>
    <w:rsid w:val="00BE2169"/>
    <w:rsid w:val="00C20EB5"/>
    <w:rsid w:val="00C52803"/>
    <w:rsid w:val="00C87B1F"/>
    <w:rsid w:val="00CA707C"/>
    <w:rsid w:val="00CF6012"/>
    <w:rsid w:val="00D41172"/>
    <w:rsid w:val="00D74B89"/>
    <w:rsid w:val="00DD06A5"/>
    <w:rsid w:val="00DE264C"/>
    <w:rsid w:val="00DE390F"/>
    <w:rsid w:val="00E1591B"/>
    <w:rsid w:val="00E23A0E"/>
    <w:rsid w:val="00E40EFB"/>
    <w:rsid w:val="00E60A21"/>
    <w:rsid w:val="00EA4A08"/>
    <w:rsid w:val="00F2746B"/>
    <w:rsid w:val="00F469FB"/>
    <w:rsid w:val="00F9144D"/>
    <w:rsid w:val="00FB4EE0"/>
    <w:rsid w:val="00FC1F1A"/>
    <w:rsid w:val="00FE34A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86209"/>
  <w15:chartTrackingRefBased/>
  <w15:docId w15:val="{A65FB788-DB00-48AF-8D1E-13518867A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93C"/>
    <w:rPr>
      <w:rFonts w:ascii="Calibri" w:eastAsia="Calibri" w:hAnsi="Calibri" w:cs="Calibri"/>
      <w:lang w:eastAsia="en-ID"/>
    </w:rPr>
  </w:style>
  <w:style w:type="paragraph" w:styleId="Heading1">
    <w:name w:val="heading 1"/>
    <w:basedOn w:val="Normal"/>
    <w:next w:val="Normal"/>
    <w:link w:val="Heading1Char"/>
    <w:uiPriority w:val="9"/>
    <w:qFormat/>
    <w:rsid w:val="00E60A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54D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09793C"/>
    <w:rPr>
      <w:vertAlign w:val="superscript"/>
    </w:rPr>
  </w:style>
  <w:style w:type="paragraph" w:styleId="Header">
    <w:name w:val="header"/>
    <w:basedOn w:val="Normal"/>
    <w:link w:val="HeaderChar"/>
    <w:uiPriority w:val="99"/>
    <w:unhideWhenUsed/>
    <w:rsid w:val="002047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47B0"/>
    <w:rPr>
      <w:rFonts w:ascii="Calibri" w:eastAsia="Calibri" w:hAnsi="Calibri" w:cs="Calibri"/>
      <w:lang w:eastAsia="en-ID"/>
    </w:rPr>
  </w:style>
  <w:style w:type="paragraph" w:styleId="Footer">
    <w:name w:val="footer"/>
    <w:basedOn w:val="Normal"/>
    <w:link w:val="FooterChar"/>
    <w:uiPriority w:val="99"/>
    <w:unhideWhenUsed/>
    <w:rsid w:val="002047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47B0"/>
    <w:rPr>
      <w:rFonts w:ascii="Calibri" w:eastAsia="Calibri" w:hAnsi="Calibri" w:cs="Calibri"/>
      <w:lang w:eastAsia="en-ID"/>
    </w:rPr>
  </w:style>
  <w:style w:type="paragraph" w:styleId="FootnoteText">
    <w:name w:val="footnote text"/>
    <w:basedOn w:val="Normal"/>
    <w:link w:val="FootnoteTextChar"/>
    <w:uiPriority w:val="99"/>
    <w:semiHidden/>
    <w:unhideWhenUsed/>
    <w:rsid w:val="00C528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2803"/>
    <w:rPr>
      <w:rFonts w:ascii="Calibri" w:eastAsia="Calibri" w:hAnsi="Calibri" w:cs="Calibri"/>
      <w:sz w:val="20"/>
      <w:szCs w:val="20"/>
      <w:lang w:eastAsia="en-ID"/>
    </w:rPr>
  </w:style>
  <w:style w:type="character" w:styleId="PlaceholderText">
    <w:name w:val="Placeholder Text"/>
    <w:basedOn w:val="DefaultParagraphFont"/>
    <w:uiPriority w:val="99"/>
    <w:semiHidden/>
    <w:rsid w:val="005B33DF"/>
    <w:rPr>
      <w:color w:val="666666"/>
    </w:rPr>
  </w:style>
  <w:style w:type="character" w:styleId="Hyperlink">
    <w:name w:val="Hyperlink"/>
    <w:basedOn w:val="DefaultParagraphFont"/>
    <w:uiPriority w:val="99"/>
    <w:unhideWhenUsed/>
    <w:rsid w:val="00A55947"/>
    <w:rPr>
      <w:color w:val="0563C1" w:themeColor="hyperlink"/>
      <w:u w:val="single"/>
    </w:rPr>
  </w:style>
  <w:style w:type="character" w:styleId="UnresolvedMention">
    <w:name w:val="Unresolved Mention"/>
    <w:basedOn w:val="DefaultParagraphFont"/>
    <w:uiPriority w:val="99"/>
    <w:semiHidden/>
    <w:unhideWhenUsed/>
    <w:rsid w:val="00A55947"/>
    <w:rPr>
      <w:color w:val="605E5C"/>
      <w:shd w:val="clear" w:color="auto" w:fill="E1DFDD"/>
    </w:rPr>
  </w:style>
  <w:style w:type="character" w:customStyle="1" w:styleId="Heading1Char">
    <w:name w:val="Heading 1 Char"/>
    <w:basedOn w:val="DefaultParagraphFont"/>
    <w:link w:val="Heading1"/>
    <w:uiPriority w:val="9"/>
    <w:rsid w:val="00E60A21"/>
    <w:rPr>
      <w:rFonts w:asciiTheme="majorHAnsi" w:eastAsiaTheme="majorEastAsia" w:hAnsiTheme="majorHAnsi" w:cstheme="majorBidi"/>
      <w:color w:val="2F5496" w:themeColor="accent1" w:themeShade="BF"/>
      <w:sz w:val="32"/>
      <w:szCs w:val="32"/>
      <w:lang w:eastAsia="en-ID"/>
    </w:rPr>
  </w:style>
  <w:style w:type="paragraph" w:styleId="ListParagraph">
    <w:name w:val="List Paragraph"/>
    <w:basedOn w:val="Normal"/>
    <w:uiPriority w:val="34"/>
    <w:qFormat/>
    <w:rsid w:val="00B54D40"/>
    <w:pPr>
      <w:ind w:left="720"/>
      <w:contextualSpacing/>
    </w:pPr>
  </w:style>
  <w:style w:type="character" w:customStyle="1" w:styleId="Heading2Char">
    <w:name w:val="Heading 2 Char"/>
    <w:basedOn w:val="DefaultParagraphFont"/>
    <w:link w:val="Heading2"/>
    <w:uiPriority w:val="9"/>
    <w:semiHidden/>
    <w:rsid w:val="00B54D40"/>
    <w:rPr>
      <w:rFonts w:asciiTheme="majorHAnsi" w:eastAsiaTheme="majorEastAsia" w:hAnsiTheme="majorHAnsi" w:cstheme="majorBidi"/>
      <w:color w:val="2F5496" w:themeColor="accent1" w:themeShade="BF"/>
      <w:sz w:val="26"/>
      <w:szCs w:val="26"/>
      <w:lang w:eastAsia="en-ID"/>
    </w:rPr>
  </w:style>
  <w:style w:type="paragraph" w:styleId="NormalWeb">
    <w:name w:val="Normal (Web)"/>
    <w:basedOn w:val="Normal"/>
    <w:uiPriority w:val="99"/>
    <w:unhideWhenUsed/>
    <w:rsid w:val="00F9144D"/>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character" w:styleId="CommentReference">
    <w:name w:val="annotation reference"/>
    <w:basedOn w:val="DefaultParagraphFont"/>
    <w:uiPriority w:val="99"/>
    <w:semiHidden/>
    <w:unhideWhenUsed/>
    <w:rsid w:val="00243470"/>
    <w:rPr>
      <w:sz w:val="16"/>
      <w:szCs w:val="16"/>
    </w:rPr>
  </w:style>
  <w:style w:type="paragraph" w:styleId="CommentText">
    <w:name w:val="annotation text"/>
    <w:basedOn w:val="Normal"/>
    <w:link w:val="CommentTextChar"/>
    <w:uiPriority w:val="99"/>
    <w:unhideWhenUsed/>
    <w:rsid w:val="00243470"/>
    <w:pPr>
      <w:spacing w:line="240" w:lineRule="auto"/>
    </w:pPr>
    <w:rPr>
      <w:sz w:val="20"/>
      <w:szCs w:val="20"/>
    </w:rPr>
  </w:style>
  <w:style w:type="character" w:customStyle="1" w:styleId="CommentTextChar">
    <w:name w:val="Comment Text Char"/>
    <w:basedOn w:val="DefaultParagraphFont"/>
    <w:link w:val="CommentText"/>
    <w:uiPriority w:val="99"/>
    <w:rsid w:val="00243470"/>
    <w:rPr>
      <w:rFonts w:ascii="Calibri" w:eastAsia="Calibri" w:hAnsi="Calibri" w:cs="Calibri"/>
      <w:sz w:val="20"/>
      <w:szCs w:val="20"/>
      <w:lang w:eastAsia="en-ID"/>
    </w:rPr>
  </w:style>
  <w:style w:type="paragraph" w:styleId="CommentSubject">
    <w:name w:val="annotation subject"/>
    <w:basedOn w:val="CommentText"/>
    <w:next w:val="CommentText"/>
    <w:link w:val="CommentSubjectChar"/>
    <w:uiPriority w:val="99"/>
    <w:semiHidden/>
    <w:unhideWhenUsed/>
    <w:rsid w:val="00243470"/>
    <w:rPr>
      <w:b/>
      <w:bCs/>
    </w:rPr>
  </w:style>
  <w:style w:type="character" w:customStyle="1" w:styleId="CommentSubjectChar">
    <w:name w:val="Comment Subject Char"/>
    <w:basedOn w:val="CommentTextChar"/>
    <w:link w:val="CommentSubject"/>
    <w:uiPriority w:val="99"/>
    <w:semiHidden/>
    <w:rsid w:val="00243470"/>
    <w:rPr>
      <w:rFonts w:ascii="Calibri" w:eastAsia="Calibri" w:hAnsi="Calibri" w:cs="Calibri"/>
      <w:b/>
      <w:bCs/>
      <w:sz w:val="20"/>
      <w:szCs w:val="20"/>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yalhafis@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doi.org/10.62872/f6dzae93" TargetMode="External"/><Relationship Id="rId1" Type="http://schemas.openxmlformats.org/officeDocument/2006/relationships/hyperlink" Target="https://doi.org/10.62872/f6dzae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C8552-E09E-4533-92CD-0B18CFCFA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4261</Words>
  <Characters>24293</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Inventaris UNIPER</dc:creator>
  <cp:keywords/>
  <dc:description/>
  <cp:lastModifiedBy>ASUS NOTEBOOK</cp:lastModifiedBy>
  <cp:revision>3</cp:revision>
  <dcterms:created xsi:type="dcterms:W3CDTF">2026-08-15T03:16:00Z</dcterms:created>
  <dcterms:modified xsi:type="dcterms:W3CDTF">2026-08-18T05:02:00Z</dcterms:modified>
</cp:coreProperties>
</file>